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2E74B5"/>
          <w:sz w:val="20"/>
        </w:rPr>
        <w:t>TECHNICAL CASE STUDY</w:t>
      </w:r>
    </w:p>
    <w:p>
      <w:pPr>
        <w:spacing w:after="40"/>
      </w:pPr>
      <w:r>
        <w:rPr>
          <w:rFonts w:ascii="Calibri" w:hAnsi="Calibri"/>
          <w:b/>
          <w:color w:val="1F4D78"/>
          <w:sz w:val="56"/>
        </w:rPr>
        <w:t>PII Airlock</w:t>
      </w:r>
    </w:p>
    <w:p>
      <w:pPr>
        <w:spacing w:after="280"/>
      </w:pPr>
      <w:r>
        <w:rPr>
          <w:rFonts w:ascii="Calibri" w:hAnsi="Calibri"/>
          <w:color w:val="5A626C"/>
          <w:sz w:val="28"/>
        </w:rPr>
        <w:t>Local pseudonymization before a cloud-model call</w:t>
      </w:r>
    </w:p>
    <w:p>
      <w:pPr>
        <w:spacing w:after="40"/>
      </w:pPr>
      <w:r>
        <w:rPr>
          <w:rFonts w:ascii="Calibri" w:hAnsi="Calibri"/>
          <w:b/>
          <w:color w:val="5A626C"/>
          <w:sz w:val="19"/>
        </w:rPr>
        <w:t xml:space="preserve">Repository: </w:t>
      </w:r>
      <w:r>
        <w:rPr>
          <w:rFonts w:ascii="Calibri" w:hAnsi="Calibri"/>
          <w:sz w:val="21"/>
        </w:rPr>
        <w:t>github.com/AI-Danil/pii-airlock</w:t>
      </w:r>
    </w:p>
    <w:p>
      <w:pPr>
        <w:spacing w:after="40"/>
      </w:pPr>
      <w:r>
        <w:rPr>
          <w:rFonts w:ascii="Calibri" w:hAnsi="Calibri"/>
          <w:b/>
          <w:color w:val="5A626C"/>
          <w:sz w:val="19"/>
        </w:rPr>
        <w:t xml:space="preserve">Run: </w:t>
      </w:r>
      <w:r>
        <w:rPr>
          <w:rFonts w:ascii="Calibri" w:hAnsi="Calibri"/>
          <w:sz w:val="21"/>
        </w:rPr>
        <w:t>21 July 2026</w:t>
      </w:r>
    </w:p>
    <w:p>
      <w:pPr>
        <w:spacing w:after="40"/>
      </w:pPr>
      <w:r>
        <w:rPr>
          <w:rFonts w:ascii="Calibri" w:hAnsi="Calibri"/>
          <w:b/>
          <w:color w:val="5A626C"/>
          <w:sz w:val="19"/>
        </w:rPr>
        <w:t xml:space="preserve">Data: </w:t>
      </w:r>
      <w:r>
        <w:rPr>
          <w:rFonts w:ascii="Calibri" w:hAnsi="Calibri"/>
          <w:sz w:val="21"/>
        </w:rPr>
        <w:t>30 synthetic documents</w:t>
      </w:r>
    </w:p>
    <w:p>
      <w:pPr>
        <w:spacing w:after="40"/>
      </w:pPr>
    </w:p>
    <w:p>
      <w:pPr>
        <w:pStyle w:val="Heading1"/>
      </w:pPr>
      <w:r>
        <w:t>1. Question and implementation</w:t>
      </w:r>
    </w:p>
    <w:p>
      <w:r>
        <w:t>A personal assistant may send both instructions and a document to a provider. Either field can contain names, contacts, addresses, identifiers, or credentials. PII Airlock tests a local boundary: LM Studio proposes exact substrings; Python validates and replaces them; a rules-based scan checks the resulting fields; only current-operation tokens may be restored.</w:t>
      </w:r>
    </w:p>
    <w:p>
      <w:pPr>
        <w:pStyle w:val="Heading2"/>
      </w:pPr>
      <w:r>
        <w:t>What the status means</w:t>
      </w:r>
    </w:p>
    <w:p>
      <w:pPr>
        <w:spacing w:after="160"/>
        <w:shd w:fill="F2F4F7"/>
      </w:pPr>
      <w:r>
        <w:rPr>
          <w:rFonts w:ascii="Calibri" w:hAnsi="Calibri"/>
          <w:b/>
          <w:color w:val="1F4D78"/>
          <w:sz w:val="21"/>
        </w:rPr>
        <w:t>The interface uses READY_FOR_REVIEW. It means that the implemented deterministic checks found no residual value they recognize. It is not a determination that the document is safe. Cloud use remains off until an API key and model are set.</w:t>
      </w:r>
    </w:p>
    <w:p>
      <w:r>
        <w:br w:type="page"/>
      </w:r>
    </w:p>
    <w:p>
      <w:pPr>
        <w:pStyle w:val="Heading1"/>
      </w:pPr>
      <w:r>
        <w:t>2. Request path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The task and document are analysed together through LM Studio on 127.0.0.1.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Exact spans are selected longest first. Only replaced values enter the mapping; tokens use a 128-bit operation nonce.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The API shows the same outbound instructions and input text later passed to the provider client.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Completion is claimed once. One active sweeper removes expired mappings; the pending store is capped at 100.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Browser writes require an HttpOnly session and same origin. The stateless route requires a bearer token.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Any unknown, truncated, case-changed, or invented __PII_ fragment in the provider answer blocks restoration.</w:t>
      </w:r>
    </w:p>
    <w:p>
      <w:r>
        <w:drawing>
          <wp:inline xmlns:a="http://schemas.openxmlformats.org/drawingml/2006/main" xmlns:pic="http://schemas.openxmlformats.org/drawingml/2006/picture">
            <wp:extent cx="5943600" cy="5324475"/>
            <wp:docPr id="1" name="Picture 1" descr="Web UI after a local dry-run · synthetic values onl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i-airlock-dry-ru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4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rPr>
          <w:rFonts w:ascii="Calibri" w:hAnsi="Calibri"/>
          <w:b w:val="0"/>
          <w:i/>
          <w:color w:val="5A626C"/>
          <w:sz w:val="17"/>
        </w:rPr>
        <w:t>Web UI after a local dry-run · synthetic values only</w:t>
      </w:r>
    </w:p>
    <w:p>
      <w:r>
        <w:br w:type="page"/>
      </w:r>
    </w:p>
    <w:p>
      <w:pPr>
        <w:pStyle w:val="Heading1"/>
      </w:pPr>
      <w:r>
        <w:t>3. Published local-model run</w:t>
      </w:r>
    </w:p>
    <w:p>
      <w:r>
        <w:t>The benchmark used 15 Russian and 15 English synthetic documents. It made no cloud calls.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Ind w:w="120" w:type="dxa"/>
      </w:tblPr>
      <w:tblGrid>
        <w:gridCol w:w="4968"/>
        <w:gridCol w:w="2196"/>
        <w:gridCol w:w="2196"/>
      </w:tblGrid>
      <w:tr>
        <w:trPr>
          <w:tblHeader/>
        </w:trPr>
        <w:tc>
          <w:tcPr>
            <w:tcW w:type="dxa" w:w="4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9"/>
              </w:rPr>
              <w:t>Metric</w:t>
            </w:r>
          </w:p>
        </w:tc>
        <w:tc>
          <w:tcPr>
            <w:tcW w:type="dxa" w:w="2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9"/>
              </w:rPr>
              <w:t>Qwen 3.5 9B</w:t>
            </w:r>
          </w:p>
        </w:tc>
        <w:tc>
          <w:tcPr>
            <w:tcW w:type="dxa" w:w="21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r>
              <w:rPr>
                <w:rFonts w:ascii="Calibri" w:hAnsi="Calibri"/>
                <w:b/>
                <w:color w:val="1F4D78"/>
                <w:sz w:val="19"/>
              </w:rPr>
              <w:t>Gemma 4 E4B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Entity recall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0.7037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0.7593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Extra replacement values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Detection failures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Runtime gate passes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23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26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Known-control leaks after runtime gate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Fixture-oracle passes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23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22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Median latency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2.617 s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1.355 s</w:t>
            </w:r>
          </w:p>
        </w:tc>
      </w:tr>
      <w:tr>
        <w:tc>
          <w:tcPr>
            <w:tcW w:type="dxa" w:w="496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sz w:val="18"/>
              </w:rPr>
              <w:t>Maximum latency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16.903 s</w:t>
            </w:r>
          </w:p>
        </w:tc>
        <w:tc>
          <w:tcPr>
            <w:tcW w:type="dxa" w:w="219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 w:val="0"/>
                <w:sz w:val="18"/>
              </w:rPr>
              <w:t>18.933 s</w:t>
            </w:r>
          </w:p>
        </w:tc>
      </w:tr>
    </w:tbl>
    <w:p>
      <w:pPr>
        <w:spacing w:before="120"/>
      </w:pPr>
      <w:r>
        <w:rPr>
          <w:rFonts w:ascii="Calibri" w:hAnsi="Calibri"/>
          <w:b w:val="0"/>
          <w:i/>
          <w:color w:val="5A626C"/>
          <w:sz w:val="20"/>
        </w:rPr>
        <w:t>The runtime gate caught the labelled Qwen controls in this run but missed four Gemma cases. The fixture oracle stopped them because it knew the expected values; that oracle is unavailable for arbitrary documents. Qwen's four failures were non-exact substrings. Neither model produced invalid JSON/schema output in this run.</w:t>
      </w:r>
    </w:p>
    <w:p>
      <w:pPr>
        <w:pStyle w:val="Heading1"/>
      </w:pPr>
      <w:r>
        <w:t>4. Files and checks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Web UI, CLI, and six versioned API routes; provider calls are optional and dry-run is the default.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TXT, Markdown, DOCX, and text-layer PDF input with upload, expansion, page, and character limits.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64 offline tests plus ruff, compile, and a clean Python 3.11 install; CI targets Python 3.11 and 3.12.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English and Russian README, architecture, security limits, per-case JSON, screenshot, DOCX, and PDF.</w:t>
      </w:r>
    </w:p>
    <w:p>
      <w:pPr>
        <w:pStyle w:val="ListBullet"/>
        <w:spacing w:after="100" w:line="280" w:lineRule="auto"/>
        <w:ind w:left="720" w:hanging="360"/>
      </w:pPr>
      <w:r>
        <w:rPr>
          <w:rFonts w:ascii="Calibri" w:hAnsi="Calibri"/>
          <w:sz w:val="21"/>
        </w:rPr>
        <w:t>A separate Gosha adapter exists locally behind a disabled feature flag and fails closed on gateway errors.</w:t>
      </w:r>
    </w:p>
    <w:p>
      <w:pPr>
        <w:pStyle w:val="Heading1"/>
      </w:pPr>
      <w:r>
        <w:t>5. Decision</w:t>
      </w:r>
    </w:p>
    <w:p>
      <w:r>
        <w:t>Use the project as a demonstrator and dry-run inspection tool. Do not use READY_FOR_REVIEW as automatic authorization for high-risk documents. The Gosha flag remains off. The next separate iteration should address recall with detector ensembles, manual span correction, a larger synthetic set, and per-type metrics.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626C"/>
        <w:sz w:val="17"/>
      </w:rPr>
      <w:t>Synthetic evaluation · 21 July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color w:val="5A626C"/>
        <w:sz w:val="18"/>
      </w:rPr>
      <w:t>PII AIRLOCK  ·  CASE STUDY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pseudonymization before a cloud-model call</dc:title>
  <dc:subject>PII Airlock technical case study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