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20"/>
        </w:rPr>
        <w:t>ТЕХНИЧЕСКИЙ КЕЙС</w:t>
      </w:r>
    </w:p>
    <w:p>
      <w:pPr>
        <w:spacing w:after="40"/>
      </w:pPr>
      <w:r>
        <w:rPr>
          <w:rFonts w:ascii="Calibri" w:hAnsi="Calibri"/>
          <w:b/>
          <w:color w:val="1F4D78"/>
          <w:sz w:val="56"/>
        </w:rPr>
        <w:t>PII Airlock</w:t>
      </w:r>
    </w:p>
    <w:p>
      <w:pPr>
        <w:spacing w:after="280"/>
      </w:pPr>
      <w:r>
        <w:rPr>
          <w:rFonts w:ascii="Calibri" w:hAnsi="Calibri"/>
          <w:color w:val="5A626C"/>
          <w:sz w:val="28"/>
        </w:rPr>
        <w:t>Локальная псевдонимизация перед облачным запросом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Репозиторий: </w:t>
      </w:r>
      <w:r>
        <w:rPr>
          <w:rFonts w:ascii="Calibri" w:hAnsi="Calibri"/>
          <w:sz w:val="21"/>
        </w:rPr>
        <w:t>github.com/AI-Danil/pii-airlock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Запуск: </w:t>
      </w:r>
      <w:r>
        <w:rPr>
          <w:rFonts w:ascii="Calibri" w:hAnsi="Calibri"/>
          <w:sz w:val="21"/>
        </w:rPr>
        <w:t>21 июля 2026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Данные: </w:t>
      </w:r>
      <w:r>
        <w:rPr>
          <w:rFonts w:ascii="Calibri" w:hAnsi="Calibri"/>
          <w:sz w:val="21"/>
        </w:rPr>
        <w:t>30 синтетических документов</w:t>
      </w:r>
    </w:p>
    <w:p>
      <w:pPr>
        <w:spacing w:after="40"/>
      </w:pPr>
    </w:p>
    <w:p>
      <w:pPr>
        <w:pStyle w:val="Heading1"/>
      </w:pPr>
      <w:r>
        <w:t>1. Задача и реализация</w:t>
      </w:r>
    </w:p>
    <w:p>
      <w:r>
        <w:t>Личный ассистент может отправлять провайдеру и инструкции, и документ. В обоих полях бывают имена, контакты, адреса, идентификаторы и ключи. PII Airlock проверяет локальную границу: LM Studio предлагает точные подстроки, Python проверяет и заменяет их, отдельные правила смотрят результат, а восстановить можно только токены текущей операции.</w:t>
      </w:r>
    </w:p>
    <w:p>
      <w:pPr>
        <w:pStyle w:val="Heading2"/>
      </w:pPr>
      <w:r>
        <w:t>Что означает статус</w:t>
      </w:r>
    </w:p>
    <w:p>
      <w:pPr>
        <w:spacing w:after="160"/>
        <w:shd w:fill="F2F4F7"/>
      </w:pPr>
      <w:r>
        <w:rPr>
          <w:rFonts w:ascii="Calibri" w:hAnsi="Calibri"/>
          <w:b/>
          <w:color w:val="1F4D78"/>
          <w:sz w:val="21"/>
        </w:rPr>
        <w:t>Интерфейс использует READY_FOR_REVIEW. Это значит лишь, что реализованные детерминированные проверки не нашли знакомого остатка. Статус не определяет документ как безопасный. Облако выключено, пока явно не заданы API-ключ и модель.</w:t>
      </w:r>
    </w:p>
    <w:p>
      <w:r>
        <w:br w:type="page"/>
      </w:r>
    </w:p>
    <w:p>
      <w:pPr>
        <w:pStyle w:val="Heading1"/>
      </w:pPr>
      <w:r>
        <w:t>2. Путь запроса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Задача и документ анализируются вместе через LM Studio на 127.0.0.1.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Точные spans выбираются от длинных к коротким. В mapping попадают только заменённые значения; nonce содержит 128 случайных бит.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API показывает те же исходящие инструкции и текст, которые затем получает клиент провайдера.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Completion забирается один раз. Один активный sweeper чистит TTL; store ограничен 100 ожидающими операциями.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Web-записи требуют HttpOnly session и same-origin. Stateless-маршрут требует bearer-токен.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Неизвестный, обрезанный, изменённый по регистру или придуманный фрагмент __PII_ блокирует восстановление ответа.</w:t>
      </w:r>
    </w:p>
    <w:p>
      <w:r>
        <w:drawing>
          <wp:inline xmlns:a="http://schemas.openxmlformats.org/drawingml/2006/main" xmlns:pic="http://schemas.openxmlformats.org/drawingml/2006/picture">
            <wp:extent cx="5943600" cy="5324475"/>
            <wp:docPr id="1" name="Picture 1" descr="Web UI после локального dry-run · только синтетические знач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i-airlock-dry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4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Calibri" w:hAnsi="Calibri"/>
          <w:b w:val="0"/>
          <w:i/>
          <w:color w:val="5A626C"/>
          <w:sz w:val="17"/>
        </w:rPr>
        <w:t>Web UI после локального dry-run · только синтетические значения</w:t>
      </w:r>
    </w:p>
    <w:p>
      <w:r>
        <w:br w:type="page"/>
      </w:r>
    </w:p>
    <w:p>
      <w:pPr>
        <w:pStyle w:val="Heading1"/>
      </w:pPr>
      <w:r>
        <w:t>3. Опубликованный прогон локальных моделей</w:t>
      </w:r>
    </w:p>
    <w:p>
      <w:r>
        <w:t>Benchmark использовал 15 русских и 15 английских синтетических документов. Облачных вызовов не было.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Ind w:w="120" w:type="dxa"/>
      </w:tblPr>
      <w:tblGrid>
        <w:gridCol w:w="4968"/>
        <w:gridCol w:w="2196"/>
        <w:gridCol w:w="2196"/>
      </w:tblGrid>
      <w:tr>
        <w:trPr>
          <w:tblHeader/>
        </w:trPr>
        <w:tc>
          <w:tcPr>
            <w:tcW w:type="dxa" w:w="4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Метрика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Qwen 3.5 9B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Gemma 4 E4B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Entity recall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0,7037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0,7593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Лишние значения для замены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Ошибки детектора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Проходы runtime gate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Контрольные значения после runtime gate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Проходы fixture-oracle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Медиана времени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2,617 с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1,355 с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Максимум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16,903 с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18,933 с</w:t>
            </w:r>
          </w:p>
        </w:tc>
      </w:tr>
    </w:tbl>
    <w:p>
      <w:pPr>
        <w:spacing w:before="120"/>
      </w:pPr>
      <w:r>
        <w:rPr>
          <w:rFonts w:ascii="Calibri" w:hAnsi="Calibri"/>
          <w:b w:val="0"/>
          <w:i/>
          <w:color w:val="5A626C"/>
          <w:sz w:val="20"/>
        </w:rPr>
        <w:t>В этом прогоне runtime gate поймал размеченные значения Qwen, но пропустил четыре кейса Gemma. Fixture-oracle остановил их, потому что знал ожидаемые значения; для произвольного документа такого oracle нет. Четыре ошибки Qwen были неточными подстроками. Невалидного JSON/schema в этом запуске не было.</w:t>
      </w:r>
    </w:p>
    <w:p>
      <w:pPr>
        <w:pStyle w:val="Heading1"/>
      </w:pPr>
      <w:r>
        <w:t>4. Файлы и проверки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Web UI, CLI и шесть versioned API-маршрутов; облачный вызов опционален, по умолчанию работает dry-run.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TXT, Markdown, DOCX и PDF с текстовым слоем; действуют лимиты загрузки, распаковки, страниц и символов.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64 offline-теста, ruff, compile и чистая установка Python 3.11; CI проверяет Python 3.11 и 3.12.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README, архитектура и ограничения на двух языках, per-case JSON, screenshot, DOCX и PDF.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Отдельный адаптер Гоши существует локально за выключенным feature flag и не обходит gateway при ошибке.</w:t>
      </w:r>
    </w:p>
    <w:p>
      <w:pPr>
        <w:pStyle w:val="Heading1"/>
      </w:pPr>
      <w:r>
        <w:t>5. Решение</w:t>
      </w:r>
    </w:p>
    <w:p>
      <w:r>
        <w:t>Использовать проект как демонстрацию и инструмент просмотра в dry-run. Не считать READY_FOR_REVIEW автоматическим допуском для документов высокого риска. Флаг Гоши остаётся выключенным. Следующая отдельная итерация должна заняться recall: ансамблем детекторов, ручной коррекцией spans, большим синтетическим набором и метриками по типам.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Синтетическая оценка · 21 июля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A626C"/>
        <w:sz w:val="18"/>
      </w:rPr>
      <w:t>PII AIRLOCK  · 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Локальная псевдонимизация перед облачным запросом</dc:title>
  <dc:subject>PII Airlock technical case study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