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2A4A"/>
          <w:sz w:val="56"/>
          <w:szCs w:val="56"/>
        </w:rPr>
        <w:t xml:space="preserve">TIGERHAWK TMS</w:t>
      </w:r>
    </w:p>
    <w:p>
      <w:pPr>
        <w:spacing w:after="80"/>
        <w:jc w:val="center"/>
      </w:pPr>
      <w:r>
        <w:rPr>
          <w:rFonts w:ascii="Arial" w:cs="Arial" w:eastAsia="Arial" w:hAnsi="Arial"/>
          <w:color w:val="E8700A"/>
          <w:sz w:val="32"/>
          <w:szCs w:val="32"/>
        </w:rPr>
        <w:t xml:space="preserve">Technical Handoff Document</w:t>
      </w:r>
    </w:p>
    <w:p>
      <w:pPr>
        <w:pBdr>
          <w:bottom w:val="single" w:color="E8700A" w:sz="6" w:space="8"/>
        </w:pBdr>
        <w:spacing w:after="600"/>
        <w:jc w:val="center"/>
      </w:pPr>
      <w:r>
        <w:rPr>
          <w:sz w:val="12"/>
          <w:szCs w:val="12"/>
        </w:rPr>
        <w:t xml:space="preserve"> </w:t>
      </w:r>
    </w:p>
    <w:p>
      <w:pPr>
        <w:spacing w:after="200"/>
      </w:pPr>
    </w:p>
    <w:p>
      <w:pPr>
        <w:spacing w:after="80"/>
        <w:jc w:val="center"/>
      </w:pPr>
      <w:r>
        <w:rPr>
          <w:rFonts w:ascii="Arial" w:cs="Arial" w:eastAsia="Arial" w:hAnsi="Arial"/>
          <w:color w:val="555555"/>
          <w:sz w:val="24"/>
          <w:szCs w:val="24"/>
        </w:rPr>
        <w:t xml:space="preserve">Port &amp; Drayage Transportation Management System</w:t>
      </w:r>
    </w:p>
    <w:p>
      <w:pPr>
        <w:spacing w:after="80"/>
        <w:jc w:val="center"/>
      </w:pPr>
      <w:r>
        <w:rPr>
          <w:rFonts w:ascii="Arial" w:cs="Arial" w:eastAsia="Arial" w:hAnsi="Arial"/>
          <w:color w:val="555555"/>
          <w:sz w:val="22"/>
          <w:szCs w:val="22"/>
        </w:rPr>
        <w:t xml:space="preserve">Version 0.1.0  |  February 2026</w:t>
      </w:r>
    </w:p>
    <w:p>
      <w:pPr>
        <w:spacing w:after="200"/>
        <w:jc w:val="center"/>
      </w:pPr>
      <w:r>
        <w:rPr>
          <w:rFonts w:ascii="Arial" w:cs="Arial" w:eastAsia="Arial" w:hAnsi="Arial"/>
          <w:i/>
          <w:iCs/>
          <w:color w:val="555555"/>
          <w:sz w:val="20"/>
          <w:szCs w:val="20"/>
        </w:rPr>
        <w:t xml:space="preserve">Prepared for: Development Team Onboarding</w:t>
      </w:r>
    </w:p>
    <w:p>
      <w:pPr>
        <w:spacing w:after="1200"/>
      </w:pPr>
    </w:p>
    <w:p>
      <w:pPr>
        <w:jc w:val="center"/>
      </w:pPr>
      <w:r>
        <w:rPr>
          <w:rFonts w:ascii="Arial" w:cs="Arial" w:eastAsia="Arial" w:hAnsi="Arial"/>
          <w:b/>
          <w:bCs/>
          <w:color w:val="E8700A"/>
          <w:sz w:val="22"/>
          <w:szCs w:val="22"/>
        </w:rPr>
        <w:t xml:space="preserve">CONFIDENTIAL</w:t>
      </w:r>
    </w:p>
    <w:p>
      <w:pPr>
        <w:sectPr>
          <w:headerReference w:type="default" r:id="rId7"/>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Executive Summary</w:t>
      </w:r>
    </w:p>
    <w:p>
      <w:pPr>
        <w:spacing w:after="120"/>
      </w:pPr>
      <w:r>
        <w:rPr>
          <w:rFonts w:ascii="Arial" w:cs="Arial" w:eastAsia="Arial" w:hAnsi="Arial"/>
          <w:color w:val="1A1A1A"/>
          <w:sz w:val="20"/>
          <w:szCs w:val="20"/>
        </w:rPr>
        <w:t xml:space="preserve">TigerHawk TMS is a full-featured Transportation Management System purpose-built for port drayage operations in the Houston, Texas market. It manages the complete lifecycle of container movements from Port Houston terminals to customer facilities, including driver dispatch, pay calculation, financial settlement, and real-time container tracking.</w:t>
      </w:r>
    </w:p>
    <w:p>
      <w:pPr>
        <w:spacing w:after="120"/>
      </w:pPr>
      <w:r>
        <w:rPr>
          <w:rFonts w:ascii="Arial" w:cs="Arial" w:eastAsia="Arial" w:hAnsi="Arial"/>
          <w:color w:val="1A1A1A"/>
          <w:sz w:val="20"/>
          <w:szCs w:val="20"/>
        </w:rPr>
        <w:t xml:space="preserve">The system integrates directly with Port Houston’s API for vessel and container data, supports complex multi-tier driver pay structures, and provides comprehensive financial reporting for both accounts receivable and accounts payable operations.</w:t>
      </w:r>
    </w:p>
    <w:p>
      <w:pPr>
        <w:spacing w:after="120"/>
      </w:pPr>
    </w:p>
    <w:p>
      <w:pPr>
        <w:pStyle w:val="Heading2"/>
        <w:spacing w:after="160" w:before="280"/>
      </w:pPr>
      <w:r>
        <w:rPr>
          <w:rFonts w:ascii="Arial" w:cs="Arial" w:eastAsia="Arial" w:hAnsi="Arial"/>
          <w:b/>
          <w:bCs/>
          <w:color w:val="1B2A4A"/>
          <w:sz w:val="26"/>
          <w:szCs w:val="26"/>
        </w:rPr>
        <w:t xml:space="preserve">Project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Area</w:t>
            </w:r>
          </w:p>
        </w:tc>
        <w:tc>
          <w:tcPr>
            <w:tcW w:type="dxa" w:w="18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47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Core Dispatch</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Functional</w:t>
            </w:r>
          </w:p>
        </w:tc>
        <w:tc>
          <w:tcPr>
            <w:tcW w:type="dxa" w:w="47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Load CRUD, driver assignment, status pipeline</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Driver Pay System</w:t>
            </w:r>
          </w:p>
        </w:tc>
        <w:tc>
          <w:tcPr>
            <w:tcW w:type="dxa" w:w="1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Functional</w:t>
            </w:r>
          </w:p>
        </w:tc>
        <w:tc>
          <w:tcPr>
            <w:tcW w:type="dxa" w:w="47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Rate profiles, zonal/defined lanes, calculator</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Port Houston Sync</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Functional</w:t>
            </w:r>
          </w:p>
        </w:tc>
        <w:tc>
          <w:tcPr>
            <w:tcW w:type="dxa" w:w="47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Vessel/container sync, token rotation</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Financial (A/R)</w:t>
            </w:r>
          </w:p>
        </w:tc>
        <w:tc>
          <w:tcPr>
            <w:tcW w:type="dxa" w:w="1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Functional</w:t>
            </w:r>
          </w:p>
        </w:tc>
        <w:tc>
          <w:tcPr>
            <w:tcW w:type="dxa" w:w="47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Invoicing, payments, aging reports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Financial (A/P)</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Functional</w:t>
            </w:r>
          </w:p>
        </w:tc>
        <w:tc>
          <w:tcPr>
            <w:tcW w:type="dxa" w:w="47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Settlements, deductions, driver pay</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Equipment Mgmt</w:t>
            </w:r>
          </w:p>
        </w:tc>
        <w:tc>
          <w:tcPr>
            <w:tcW w:type="dxa" w:w="1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Functional</w:t>
            </w:r>
          </w:p>
        </w:tc>
        <w:tc>
          <w:tcPr>
            <w:tcW w:type="dxa" w:w="47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Trucks and chassis inventory</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Reporting</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Functional</w:t>
            </w:r>
          </w:p>
        </w:tc>
        <w:tc>
          <w:tcPr>
            <w:tcW w:type="dxa" w:w="47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12+ reports across financial/ops/audit</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Maps &amp; Zones</w:t>
            </w:r>
          </w:p>
        </w:tc>
        <w:tc>
          <w:tcPr>
            <w:tcW w:type="dxa" w:w="1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Partially Working</w:t>
            </w:r>
          </w:p>
        </w:tc>
        <w:tc>
          <w:tcPr>
            <w:tcW w:type="dxa" w:w="47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Geocoding added, some origins lack coordinates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Testing</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Not Started</w:t>
            </w:r>
          </w:p>
        </w:tc>
        <w:tc>
          <w:tcPr>
            <w:tcW w:type="dxa" w:w="47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No test framework or test files</w:t>
            </w:r>
          </w:p>
        </w:tc>
      </w:tr>
      <w:tr>
        <w:tc>
          <w:tcPr>
            <w:tcW w:type="dxa" w:w="2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CI/CD</w:t>
            </w:r>
          </w:p>
        </w:tc>
        <w:tc>
          <w:tcPr>
            <w:tcW w:type="dxa" w:w="1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Not Configured</w:t>
            </w:r>
          </w:p>
        </w:tc>
        <w:tc>
          <w:tcPr>
            <w:tcW w:type="dxa" w:w="47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No pipeline; manual deploy to Vercel</w:t>
            </w:r>
          </w:p>
        </w:tc>
      </w:tr>
    </w:tbl>
    <w:p>
      <w:r>
        <w:br w:type="page"/>
      </w:r>
    </w:p>
    <w:p>
      <w:pPr>
        <w:pStyle w:val="Heading1"/>
        <w:spacing w:after="200" w:before="360"/>
      </w:pPr>
      <w:r>
        <w:rPr>
          <w:rFonts w:ascii="Arial" w:cs="Arial" w:eastAsia="Arial" w:hAnsi="Arial"/>
          <w:b/>
          <w:bCs/>
          <w:color w:val="1B2A4A"/>
          <w:sz w:val="32"/>
          <w:szCs w:val="32"/>
        </w:rPr>
        <w:t xml:space="preserve">2. Technology Stack</w:t>
      </w:r>
    </w:p>
    <w:p>
      <w:pPr>
        <w:pStyle w:val="Heading2"/>
        <w:spacing w:after="160" w:before="280"/>
      </w:pPr>
      <w:r>
        <w:rPr>
          <w:rFonts w:ascii="Arial" w:cs="Arial" w:eastAsia="Arial" w:hAnsi="Arial"/>
          <w:b/>
          <w:bCs/>
          <w:color w:val="1B2A4A"/>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Technology</w:t>
            </w:r>
          </w:p>
        </w:tc>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5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Next.js</w:t>
            </w:r>
          </w:p>
        </w:tc>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16.1.6</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React framework (App Router)</w:t>
            </w:r>
          </w:p>
        </w:tc>
      </w:tr>
      <w:tr>
        <w:tc>
          <w:tcPr>
            <w:tcW w:type="dxa" w:w="26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React</w:t>
            </w:r>
          </w:p>
        </w:tc>
        <w:tc>
          <w:tcPr>
            <w:tcW w:type="dxa" w:w="1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19.2.3</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UI rendering</w:t>
            </w:r>
          </w:p>
        </w:tc>
      </w:tr>
      <w:tr>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TypeScript</w:t>
            </w:r>
          </w:p>
        </w:tc>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5.x</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Type safety across entire codebase</w:t>
            </w:r>
          </w:p>
        </w:tc>
      </w:tr>
      <w:tr>
        <w:tc>
          <w:tcPr>
            <w:tcW w:type="dxa" w:w="26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Tailwind CSS</w:t>
            </w:r>
          </w:p>
        </w:tc>
        <w:tc>
          <w:tcPr>
            <w:tcW w:type="dxa" w:w="1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4.x</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Utility-first styling</w:t>
            </w:r>
          </w:p>
        </w:tc>
      </w:tr>
      <w:tr>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shadcn/ui</w:t>
            </w:r>
          </w:p>
        </w:tc>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3.8.5</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Pre-built accessible UI components</w:t>
            </w:r>
          </w:p>
        </w:tc>
      </w:tr>
      <w:tr>
        <w:tc>
          <w:tcPr>
            <w:tcW w:type="dxa" w:w="26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Radix UI</w:t>
            </w:r>
          </w:p>
        </w:tc>
        <w:tc>
          <w:tcPr>
            <w:tcW w:type="dxa" w:w="1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1.4.3</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Unstyled accessible primitives</w:t>
            </w:r>
          </w:p>
        </w:tc>
      </w:tr>
      <w:tr>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Recharts</w:t>
            </w:r>
          </w:p>
        </w:tc>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3.7.0</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Charts and data visualization</w:t>
            </w:r>
          </w:p>
        </w:tc>
      </w:tr>
      <w:tr>
        <w:tc>
          <w:tcPr>
            <w:tcW w:type="dxa" w:w="26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Leaflet + React Leaflet</w:t>
            </w:r>
          </w:p>
        </w:tc>
        <w:tc>
          <w:tcPr>
            <w:tcW w:type="dxa" w:w="1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1.9.4 / 5.0.0</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Map rendering (zone maps, load routing)</w:t>
            </w:r>
          </w:p>
        </w:tc>
      </w:tr>
      <w:tr>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Lucide React</w:t>
            </w:r>
          </w:p>
        </w:tc>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0.564.0</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Icon library</w:t>
            </w:r>
          </w:p>
        </w:tc>
      </w:tr>
      <w:tr>
        <w:tc>
          <w:tcPr>
            <w:tcW w:type="dxa" w:w="26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React Hook Form + Zod</w:t>
            </w:r>
          </w:p>
        </w:tc>
        <w:tc>
          <w:tcPr>
            <w:tcW w:type="dxa" w:w="1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7.71 / 4.3</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Form handling and validation</w:t>
            </w:r>
          </w:p>
        </w:tc>
      </w:tr>
    </w:tbl>
    <w:p>
      <w:pPr>
        <w:spacing w:after="120"/>
      </w:pPr>
    </w:p>
    <w:p>
      <w:pPr>
        <w:pStyle w:val="Heading2"/>
        <w:spacing w:after="160" w:before="280"/>
      </w:pPr>
      <w:r>
        <w:rPr>
          <w:rFonts w:ascii="Arial" w:cs="Arial" w:eastAsia="Arial" w:hAnsi="Arial"/>
          <w:b/>
          <w:bCs/>
          <w:color w:val="1B2A4A"/>
          <w:sz w:val="26"/>
          <w:szCs w:val="26"/>
        </w:rPr>
        <w:t xml:space="preserve">Backend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Technology</w:t>
            </w:r>
          </w:p>
        </w:tc>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5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Supabase</w:t>
            </w:r>
          </w:p>
        </w:tc>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2.95.3</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PostgreSQL database + Auth + Realtime</w:t>
            </w:r>
          </w:p>
        </w:tc>
      </w:tr>
      <w:tr>
        <w:tc>
          <w:tcPr>
            <w:tcW w:type="dxa" w:w="26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Supabase SSR</w:t>
            </w:r>
          </w:p>
        </w:tc>
        <w:tc>
          <w:tcPr>
            <w:tcW w:type="dxa" w:w="1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0.8.0</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Server-side session management</w:t>
            </w:r>
          </w:p>
        </w:tc>
      </w:tr>
      <w:tr>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jsPDF</w:t>
            </w:r>
          </w:p>
        </w:tc>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4.2.0</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PDF document generation (BOL, POD, etc.)</w:t>
            </w:r>
          </w:p>
        </w:tc>
      </w:tr>
      <w:tr>
        <w:tc>
          <w:tcPr>
            <w:tcW w:type="dxa" w:w="26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date-fns</w:t>
            </w:r>
          </w:p>
        </w:tc>
        <w:tc>
          <w:tcPr>
            <w:tcW w:type="dxa" w:w="1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4.1.0</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Date manipulation utilities</w:t>
            </w:r>
          </w:p>
        </w:tc>
      </w:tr>
      <w:tr>
        <w:tc>
          <w:tcPr>
            <w:tcW w:type="dxa" w:w="2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OpenStreetMap Nominatim</w:t>
            </w:r>
          </w:p>
        </w:tc>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N/A</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Geocoding (city/state to lat/lng)</w:t>
            </w:r>
          </w:p>
        </w:tc>
      </w:tr>
    </w:tbl>
    <w:p>
      <w:pPr>
        <w:spacing w:after="120"/>
      </w:pPr>
    </w:p>
    <w:p>
      <w:pPr>
        <w:pStyle w:val="Heading2"/>
        <w:spacing w:after="160" w:before="280"/>
      </w:pPr>
      <w:r>
        <w:rPr>
          <w:rFonts w:ascii="Arial" w:cs="Arial" w:eastAsia="Arial" w:hAnsi="Arial"/>
          <w:b/>
          <w:bCs/>
          <w:color w:val="1B2A4A"/>
          <w:sz w:val="26"/>
          <w:szCs w:val="26"/>
        </w:rPr>
        <w:t xml:space="preserve">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Variable</w:t>
            </w:r>
          </w:p>
        </w:tc>
        <w:tc>
          <w:tcPr>
            <w:tcW w:type="dxa" w:w="5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4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NEXT_PUBLIC_SUPABASE_URL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Supabase project URL</w:t>
            </w:r>
          </w:p>
        </w:tc>
      </w:tr>
      <w:tr>
        <w:tc>
          <w:tcPr>
            <w:tcW w:type="dxa" w:w="4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NEXT_PUBLIC_SUPABASE_ANON_KEY</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Supabase anonymous key (client-side auth)</w:t>
            </w:r>
          </w:p>
        </w:tc>
      </w:tr>
      <w:tr>
        <w:tc>
          <w:tcPr>
            <w:tcW w:type="dxa" w:w="4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SUPABASE_SERVICE_ROLE_KEY</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Service role key (bypasses RLS for admin ops)</w:t>
            </w:r>
          </w:p>
        </w:tc>
      </w:tr>
      <w:tr>
        <w:tc>
          <w:tcPr>
            <w:tcW w:type="dxa" w:w="4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PORT_HOUSTON_CLIENT_ID</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Port Houston OAuth 2.0 client ID</w:t>
            </w:r>
          </w:p>
        </w:tc>
      </w:tr>
      <w:tr>
        <w:tc>
          <w:tcPr>
            <w:tcW w:type="dxa" w:w="4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PORT_HOUSTON_CLIENT_SECRET</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Port Houston OAuth 2.0 client secret</w:t>
            </w:r>
          </w:p>
        </w:tc>
      </w:tr>
      <w:tr>
        <w:tc>
          <w:tcPr>
            <w:tcW w:type="dxa" w:w="4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PORT_HOUSTON_API_URL</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Port Houston API base URL</w:t>
            </w:r>
          </w:p>
        </w:tc>
      </w:tr>
      <w:tr>
        <w:tc>
          <w:tcPr>
            <w:tcW w:type="dxa" w:w="40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RESEND_API_KEY</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Email provider API key (Resend)</w:t>
            </w:r>
          </w:p>
        </w:tc>
      </w:tr>
      <w:tr>
        <w:tc>
          <w:tcPr>
            <w:tcW w:type="dxa" w:w="4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NEXT_PUBLIC_APP_URL</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Public application URL</w:t>
            </w:r>
          </w:p>
        </w:tc>
      </w:tr>
    </w:tbl>
    <w:p>
      <w:r>
        <w:br w:type="page"/>
      </w:r>
    </w:p>
    <w:p>
      <w:pPr>
        <w:pStyle w:val="Heading1"/>
        <w:spacing w:after="200" w:before="360"/>
      </w:pPr>
      <w:r>
        <w:rPr>
          <w:rFonts w:ascii="Arial" w:cs="Arial" w:eastAsia="Arial" w:hAnsi="Arial"/>
          <w:b/>
          <w:bCs/>
          <w:color w:val="1B2A4A"/>
          <w:sz w:val="32"/>
          <w:szCs w:val="32"/>
        </w:rPr>
        <w:t xml:space="preserve">3. Architecture Overview</w:t>
      </w:r>
    </w:p>
    <w:p>
      <w:pPr>
        <w:pStyle w:val="Heading2"/>
        <w:spacing w:after="160" w:before="280"/>
      </w:pPr>
      <w:r>
        <w:rPr>
          <w:rFonts w:ascii="Arial" w:cs="Arial" w:eastAsia="Arial" w:hAnsi="Arial"/>
          <w:b/>
          <w:bCs/>
          <w:color w:val="1B2A4A"/>
          <w:sz w:val="26"/>
          <w:szCs w:val="26"/>
        </w:rPr>
        <w:t xml:space="preserve">Project Structure</w:t>
      </w:r>
    </w:p>
    <w:p>
      <w:pPr>
        <w:spacing w:after="120"/>
      </w:pPr>
      <w:r>
        <w:rPr>
          <w:rFonts w:ascii="Arial" w:cs="Arial" w:eastAsia="Arial" w:hAnsi="Arial"/>
          <w:color w:val="1A1A1A"/>
          <w:sz w:val="20"/>
          <w:szCs w:val="20"/>
        </w:rPr>
        <w:t xml:space="preserve">The codebase follows Next.js App Router conventions with a feature-based component organization:</w:t>
      </w:r>
    </w:p>
    <w:p>
      <w:pPr>
        <w:pStyle w:val="ListParagraph"/>
        <w:numPr>
          <w:ilvl w:val="0"/>
          <w:numId w:val="2"/>
        </w:numPr>
        <w:spacing w:after="60"/>
      </w:pPr>
      <w:r>
        <w:rPr>
          <w:rFonts w:ascii="Arial" w:cs="Arial" w:eastAsia="Arial" w:hAnsi="Arial"/>
          <w:color w:val="1A1A1A"/>
          <w:sz w:val="20"/>
          <w:szCs w:val="20"/>
        </w:rPr>
        <w:t xml:space="preserve">app/ — Next.js App Router (pages and API routes)</w:t>
      </w:r>
    </w:p>
    <w:p>
      <w:pPr>
        <w:pStyle w:val="ListParagraph"/>
        <w:numPr>
          <w:ilvl w:val="0"/>
          <w:numId w:val="2"/>
        </w:numPr>
        <w:spacing w:after="60"/>
      </w:pPr>
      <w:r>
        <w:rPr>
          <w:rFonts w:ascii="Arial" w:cs="Arial" w:eastAsia="Arial" w:hAnsi="Arial"/>
          <w:color w:val="1A1A1A"/>
          <w:sz w:val="20"/>
          <w:szCs w:val="20"/>
        </w:rPr>
        <w:t xml:space="preserve">components/ — React components organized by feature domain</w:t>
      </w:r>
    </w:p>
    <w:p>
      <w:pPr>
        <w:pStyle w:val="ListParagraph"/>
        <w:numPr>
          <w:ilvl w:val="0"/>
          <w:numId w:val="2"/>
        </w:numPr>
        <w:spacing w:after="60"/>
      </w:pPr>
      <w:r>
        <w:rPr>
          <w:rFonts w:ascii="Arial" w:cs="Arial" w:eastAsia="Arial" w:hAnsi="Arial"/>
          <w:color w:val="1A1A1A"/>
          <w:sz w:val="20"/>
          <w:szCs w:val="20"/>
        </w:rPr>
        <w:t xml:space="preserve">lib/ — Core business logic, utilities, and integrations</w:t>
      </w:r>
    </w:p>
    <w:p>
      <w:pPr>
        <w:pStyle w:val="ListParagraph"/>
        <w:numPr>
          <w:ilvl w:val="0"/>
          <w:numId w:val="2"/>
        </w:numPr>
        <w:spacing w:after="60"/>
      </w:pPr>
      <w:r>
        <w:rPr>
          <w:rFonts w:ascii="Arial" w:cs="Arial" w:eastAsia="Arial" w:hAnsi="Arial"/>
          <w:color w:val="1A1A1A"/>
          <w:sz w:val="20"/>
          <w:szCs w:val="20"/>
        </w:rPr>
        <w:t xml:space="preserve">hooks/ — Shared React hooks</w:t>
      </w:r>
    </w:p>
    <w:p>
      <w:pPr>
        <w:pStyle w:val="ListParagraph"/>
        <w:numPr>
          <w:ilvl w:val="0"/>
          <w:numId w:val="2"/>
        </w:numPr>
        <w:spacing w:after="60"/>
      </w:pPr>
      <w:r>
        <w:rPr>
          <w:rFonts w:ascii="Arial" w:cs="Arial" w:eastAsia="Arial" w:hAnsi="Arial"/>
          <w:color w:val="1A1A1A"/>
          <w:sz w:val="20"/>
          <w:szCs w:val="20"/>
        </w:rPr>
        <w:t xml:space="preserve">types/ — TypeScript type definitions</w:t>
      </w:r>
    </w:p>
    <w:p>
      <w:pPr>
        <w:pStyle w:val="ListParagraph"/>
        <w:numPr>
          <w:ilvl w:val="0"/>
          <w:numId w:val="2"/>
        </w:numPr>
        <w:spacing w:after="60"/>
      </w:pPr>
      <w:r>
        <w:rPr>
          <w:rFonts w:ascii="Arial" w:cs="Arial" w:eastAsia="Arial" w:hAnsi="Arial"/>
          <w:color w:val="1A1A1A"/>
          <w:sz w:val="20"/>
          <w:szCs w:val="20"/>
        </w:rPr>
        <w:t xml:space="preserve">supabase/migrations/ — Database migration files (12 migrations)</w:t>
      </w:r>
    </w:p>
    <w:p>
      <w:pPr>
        <w:pStyle w:val="ListParagraph"/>
        <w:numPr>
          <w:ilvl w:val="0"/>
          <w:numId w:val="2"/>
        </w:numPr>
        <w:spacing w:after="60"/>
      </w:pPr>
      <w:r>
        <w:rPr>
          <w:rFonts w:ascii="Arial" w:cs="Arial" w:eastAsia="Arial" w:hAnsi="Arial"/>
          <w:color w:val="1A1A1A"/>
          <w:sz w:val="20"/>
          <w:szCs w:val="20"/>
        </w:rPr>
        <w:t xml:space="preserve">docs/ — Project documentation and reference data</w:t>
      </w:r>
    </w:p>
    <w:p>
      <w:pPr>
        <w:pStyle w:val="ListParagraph"/>
        <w:numPr>
          <w:ilvl w:val="0"/>
          <w:numId w:val="2"/>
        </w:numPr>
        <w:spacing w:after="60"/>
      </w:pPr>
      <w:r>
        <w:rPr>
          <w:rFonts w:ascii="Arial" w:cs="Arial" w:eastAsia="Arial" w:hAnsi="Arial"/>
          <w:color w:val="1A1A1A"/>
          <w:sz w:val="20"/>
          <w:szCs w:val="20"/>
        </w:rPr>
        <w:t xml:space="preserve">public/ — Static assets</w:t>
      </w:r>
    </w:p>
    <w:p>
      <w:pPr>
        <w:spacing w:after="120"/>
      </w:pPr>
    </w:p>
    <w:p>
      <w:pPr>
        <w:pStyle w:val="Heading2"/>
        <w:spacing w:after="160" w:before="280"/>
      </w:pPr>
      <w:r>
        <w:rPr>
          <w:rFonts w:ascii="Arial" w:cs="Arial" w:eastAsia="Arial" w:hAnsi="Arial"/>
          <w:b/>
          <w:bCs/>
          <w:color w:val="1B2A4A"/>
          <w:sz w:val="26"/>
          <w:szCs w:val="26"/>
        </w:rPr>
        <w:t xml:space="preserve">Authentication &amp; Authorization</w:t>
      </w:r>
    </w:p>
    <w:p>
      <w:pPr>
        <w:spacing w:after="120"/>
      </w:pPr>
      <w:r>
        <w:rPr>
          <w:rFonts w:ascii="Arial" w:cs="Arial" w:eastAsia="Arial" w:hAnsi="Arial"/>
          <w:color w:val="1A1A1A"/>
          <w:sz w:val="20"/>
          <w:szCs w:val="20"/>
        </w:rPr>
        <w:t xml:space="preserve">Authentication uses Supabase Auth with email/password and optional TOTP MFA. The middleware.ts file enforces authentication on all /dashboard and /api routes, verifying JWTs via getUser() (not getSession()) and enforcing AAL2 for MFA-enrolled users.</w:t>
      </w:r>
    </w:p>
    <w:p>
      <w:pPr>
        <w:spacing w:after="120"/>
      </w:pPr>
    </w:p>
    <w:p>
      <w:pPr>
        <w:spacing w:after="120"/>
      </w:pPr>
      <w:r>
        <w:rPr>
          <w:rFonts w:ascii="Arial" w:cs="Arial" w:eastAsia="Arial" w:hAnsi="Arial"/>
          <w:b/>
          <w:bCs/>
          <w:color w:val="1A1A1A"/>
          <w:sz w:val="20"/>
          <w:szCs w:val="20"/>
        </w:rPr>
        <w:t xml:space="preserve">User Roles: </w:t>
      </w:r>
      <w:r>
        <w:rPr>
          <w:rFonts w:ascii="Arial" w:cs="Arial" w:eastAsia="Arial" w:hAnsi="Arial"/>
          <w:color w:val="1A1A1A"/>
          <w:sz w:val="20"/>
          <w:szCs w:val="20"/>
        </w:rPr>
        <w:t xml:space="preserve">admin (full access), dispatcher (load and driver management), driver (limited self-service access).</w:t>
      </w:r>
    </w:p>
    <w:p>
      <w:pPr>
        <w:spacing w:after="120"/>
      </w:pPr>
    </w:p>
    <w:p>
      <w:pPr>
        <w:spacing w:after="120"/>
      </w:pPr>
      <w:r>
        <w:rPr>
          <w:rFonts w:ascii="Arial" w:cs="Arial" w:eastAsia="Arial" w:hAnsi="Arial"/>
          <w:b/>
          <w:bCs/>
          <w:color w:val="1A1A1A"/>
          <w:sz w:val="20"/>
          <w:szCs w:val="20"/>
        </w:rPr>
        <w:t xml:space="preserve">Supabase Clients: </w:t>
      </w:r>
      <w:r>
        <w:rPr>
          <w:rFonts w:ascii="Arial" w:cs="Arial" w:eastAsia="Arial" w:hAnsi="Arial"/>
          <w:color w:val="1A1A1A"/>
          <w:sz w:val="20"/>
          <w:szCs w:val="20"/>
        </w:rPr>
        <w:t xml:space="preserve">Three client types are used — Server Client (authenticated user cookies), Admin Client (service role key, bypasses RLS), and Browser Client (for client-side operations).</w:t>
      </w:r>
    </w:p>
    <w:p>
      <w:pPr>
        <w:spacing w:after="120"/>
      </w:pPr>
    </w:p>
    <w:p>
      <w:pPr>
        <w:pStyle w:val="Heading2"/>
        <w:spacing w:after="160" w:before="280"/>
      </w:pPr>
      <w:r>
        <w:rPr>
          <w:rFonts w:ascii="Arial" w:cs="Arial" w:eastAsia="Arial" w:hAnsi="Arial"/>
          <w:b/>
          <w:bCs/>
          <w:color w:val="1B2A4A"/>
          <w:sz w:val="26"/>
          <w:szCs w:val="26"/>
        </w:rPr>
        <w:t xml:space="preserve">Database</w:t>
      </w:r>
    </w:p>
    <w:p>
      <w:pPr>
        <w:spacing w:after="120"/>
      </w:pPr>
      <w:r>
        <w:rPr>
          <w:rFonts w:ascii="Arial" w:cs="Arial" w:eastAsia="Arial" w:hAnsi="Arial"/>
          <w:color w:val="1A1A1A"/>
          <w:sz w:val="20"/>
          <w:szCs w:val="20"/>
        </w:rPr>
        <w:t xml:space="preserve">PostgreSQL via Supabase with Row Level Security (RLS) enabled on all major tables. The schema includes the following key entities:</w:t>
      </w:r>
    </w:p>
    <w:p>
      <w:pPr>
        <w:pStyle w:val="ListParagraph"/>
        <w:numPr>
          <w:ilvl w:val="0"/>
          <w:numId w:val="2"/>
        </w:numPr>
        <w:spacing w:after="60"/>
      </w:pPr>
      <w:r>
        <w:rPr>
          <w:rFonts w:ascii="Arial" w:cs="Arial" w:eastAsia="Arial" w:hAnsi="Arial"/>
          <w:color w:val="1A1A1A"/>
          <w:sz w:val="20"/>
          <w:szCs w:val="20"/>
        </w:rPr>
        <w:t xml:space="preserve">loads — Core shipment/load entity with status pipeline</w:t>
      </w:r>
    </w:p>
    <w:p>
      <w:pPr>
        <w:pStyle w:val="ListParagraph"/>
        <w:numPr>
          <w:ilvl w:val="0"/>
          <w:numId w:val="2"/>
        </w:numPr>
        <w:spacing w:after="60"/>
      </w:pPr>
      <w:r>
        <w:rPr>
          <w:rFonts w:ascii="Arial" w:cs="Arial" w:eastAsia="Arial" w:hAnsi="Arial"/>
          <w:color w:val="1A1A1A"/>
          <w:sz w:val="20"/>
          <w:szCs w:val="20"/>
        </w:rPr>
        <w:t xml:space="preserve">drivers, trucks, chassis — Fleet and personnel management</w:t>
      </w:r>
    </w:p>
    <w:p>
      <w:pPr>
        <w:pStyle w:val="ListParagraph"/>
        <w:numPr>
          <w:ilvl w:val="0"/>
          <w:numId w:val="2"/>
        </w:numPr>
        <w:spacing w:after="60"/>
      </w:pPr>
      <w:r>
        <w:rPr>
          <w:rFonts w:ascii="Arial" w:cs="Arial" w:eastAsia="Arial" w:hAnsi="Arial"/>
          <w:color w:val="1A1A1A"/>
          <w:sz w:val="20"/>
          <w:szCs w:val="20"/>
        </w:rPr>
        <w:t xml:space="preserve">containers, vessels — Port Houston container and vessel tracking</w:t>
      </w:r>
    </w:p>
    <w:p>
      <w:pPr>
        <w:pStyle w:val="ListParagraph"/>
        <w:numPr>
          <w:ilvl w:val="0"/>
          <w:numId w:val="2"/>
        </w:numPr>
        <w:spacing w:after="60"/>
      </w:pPr>
      <w:r>
        <w:rPr>
          <w:rFonts w:ascii="Arial" w:cs="Arial" w:eastAsia="Arial" w:hAnsi="Arial"/>
          <w:color w:val="1A1A1A"/>
          <w:sz w:val="20"/>
          <w:szCs w:val="20"/>
        </w:rPr>
        <w:t xml:space="preserve">rate_profiles, rate_profile_lanes, rate_profile_charges, rate_profile_conditions — Multi-tier driver pay rate system</w:t>
      </w:r>
    </w:p>
    <w:p>
      <w:pPr>
        <w:pStyle w:val="ListParagraph"/>
        <w:numPr>
          <w:ilvl w:val="0"/>
          <w:numId w:val="2"/>
        </w:numPr>
        <w:spacing w:after="60"/>
      </w:pPr>
      <w:r>
        <w:rPr>
          <w:rFonts w:ascii="Arial" w:cs="Arial" w:eastAsia="Arial" w:hAnsi="Arial"/>
          <w:color w:val="1A1A1A"/>
          <w:sz w:val="20"/>
          <w:szCs w:val="20"/>
        </w:rPr>
        <w:t xml:space="preserve">lane_origins, lane_zones — Geographic zone definitions for zonal rating</w:t>
      </w:r>
    </w:p>
    <w:p>
      <w:pPr>
        <w:pStyle w:val="ListParagraph"/>
        <w:numPr>
          <w:ilvl w:val="0"/>
          <w:numId w:val="2"/>
        </w:numPr>
        <w:spacing w:after="60"/>
      </w:pPr>
      <w:r>
        <w:rPr>
          <w:rFonts w:ascii="Arial" w:cs="Arial" w:eastAsia="Arial" w:hAnsi="Arial"/>
          <w:color w:val="1A1A1A"/>
          <w:sz w:val="20"/>
          <w:szCs w:val="20"/>
        </w:rPr>
        <w:t xml:space="preserve">charge_codes — Standardized charge code reference table</w:t>
      </w:r>
    </w:p>
    <w:p>
      <w:pPr>
        <w:pStyle w:val="ListParagraph"/>
        <w:numPr>
          <w:ilvl w:val="0"/>
          <w:numId w:val="2"/>
        </w:numPr>
        <w:spacing w:after="60"/>
      </w:pPr>
      <w:r>
        <w:rPr>
          <w:rFonts w:ascii="Arial" w:cs="Arial" w:eastAsia="Arial" w:hAnsi="Arial"/>
          <w:color w:val="1A1A1A"/>
          <w:sz w:val="20"/>
          <w:szCs w:val="20"/>
        </w:rPr>
        <w:t xml:space="preserve">ar_invoices, ap_settlements, ap_driver_pay — Financial records</w:t>
      </w:r>
    </w:p>
    <w:p>
      <w:pPr>
        <w:pStyle w:val="ListParagraph"/>
        <w:numPr>
          <w:ilvl w:val="0"/>
          <w:numId w:val="2"/>
        </w:numPr>
        <w:spacing w:after="60"/>
      </w:pPr>
      <w:r>
        <w:rPr>
          <w:rFonts w:ascii="Arial" w:cs="Arial" w:eastAsia="Arial" w:hAnsi="Arial"/>
          <w:color w:val="1A1A1A"/>
          <w:sz w:val="20"/>
          <w:szCs w:val="20"/>
        </w:rPr>
        <w:t xml:space="preserve">deduction_templates, driver_deduction_settings — Driver deduction management</w:t>
      </w:r>
    </w:p>
    <w:p>
      <w:pPr>
        <w:pStyle w:val="ListParagraph"/>
        <w:numPr>
          <w:ilvl w:val="0"/>
          <w:numId w:val="2"/>
        </w:numPr>
        <w:spacing w:after="60"/>
      </w:pPr>
      <w:r>
        <w:rPr>
          <w:rFonts w:ascii="Arial" w:cs="Arial" w:eastAsia="Arial" w:hAnsi="Arial"/>
          <w:color w:val="1A1A1A"/>
          <w:sz w:val="20"/>
          <w:szCs w:val="20"/>
        </w:rPr>
        <w:t xml:space="preserve">settlement_config — Global settlement period configuration</w:t>
      </w:r>
    </w:p>
    <w:p>
      <w:pPr>
        <w:pStyle w:val="ListParagraph"/>
        <w:numPr>
          <w:ilvl w:val="0"/>
          <w:numId w:val="2"/>
        </w:numPr>
        <w:spacing w:after="60"/>
      </w:pPr>
      <w:r>
        <w:rPr>
          <w:rFonts w:ascii="Arial" w:cs="Arial" w:eastAsia="Arial" w:hAnsi="Arial"/>
          <w:color w:val="1A1A1A"/>
          <w:sz w:val="20"/>
          <w:szCs w:val="20"/>
        </w:rPr>
        <w:t xml:space="preserve">user_profiles — User roles and preferences</w:t>
      </w:r>
    </w:p>
    <w:p>
      <w:pPr>
        <w:pStyle w:val="ListParagraph"/>
        <w:numPr>
          <w:ilvl w:val="0"/>
          <w:numId w:val="2"/>
        </w:numPr>
        <w:spacing w:after="60"/>
      </w:pPr>
      <w:r>
        <w:rPr>
          <w:rFonts w:ascii="Arial" w:cs="Arial" w:eastAsia="Arial" w:hAnsi="Arial"/>
          <w:color w:val="1A1A1A"/>
          <w:sz w:val="20"/>
          <w:szCs w:val="20"/>
        </w:rPr>
        <w:t xml:space="preserve">port_houston_sync — Sync operation logging</w:t>
      </w:r>
    </w:p>
    <w:p>
      <w:r>
        <w:br w:type="page"/>
      </w:r>
    </w:p>
    <w:p>
      <w:pPr>
        <w:pStyle w:val="Heading1"/>
        <w:spacing w:after="200" w:before="360"/>
      </w:pPr>
      <w:r>
        <w:rPr>
          <w:rFonts w:ascii="Arial" w:cs="Arial" w:eastAsia="Arial" w:hAnsi="Arial"/>
          <w:b/>
          <w:bCs/>
          <w:color w:val="1B2A4A"/>
          <w:sz w:val="32"/>
          <w:szCs w:val="32"/>
        </w:rPr>
        <w:t xml:space="preserve">4. Features Built</w:t>
      </w:r>
    </w:p>
    <w:p>
      <w:pPr>
        <w:pStyle w:val="Heading2"/>
        <w:spacing w:after="160" w:before="280"/>
      </w:pPr>
      <w:r>
        <w:rPr>
          <w:rFonts w:ascii="Arial" w:cs="Arial" w:eastAsia="Arial" w:hAnsi="Arial"/>
          <w:b/>
          <w:bCs/>
          <w:color w:val="1B2A4A"/>
          <w:sz w:val="26"/>
          <w:szCs w:val="26"/>
        </w:rPr>
        <w:t xml:space="preserve">4.1 Dispatcher Module</w:t>
      </w:r>
    </w:p>
    <w:p>
      <w:pPr>
        <w:spacing w:after="120"/>
      </w:pPr>
      <w:r>
        <w:rPr>
          <w:rFonts w:ascii="Arial" w:cs="Arial" w:eastAsia="Arial" w:hAnsi="Arial"/>
          <w:color w:val="1A1A1A"/>
          <w:sz w:val="20"/>
          <w:szCs w:val="20"/>
        </w:rPr>
        <w:t xml:space="preserve">The core dispatch system manages the full load lifecycle from creation through delivery and invoicing.</w:t>
      </w:r>
    </w:p>
    <w:p>
      <w:pPr>
        <w:pStyle w:val="ListParagraph"/>
        <w:numPr>
          <w:ilvl w:val="0"/>
          <w:numId w:val="2"/>
        </w:numPr>
        <w:spacing w:after="60"/>
      </w:pPr>
      <w:r>
        <w:rPr>
          <w:rFonts w:ascii="Arial" w:cs="Arial" w:eastAsia="Arial" w:hAnsi="Arial"/>
          <w:color w:val="1A1A1A"/>
          <w:sz w:val="20"/>
          <w:szCs w:val="20"/>
        </w:rPr>
        <w:t xml:space="preserve">Load creation with container, vessel, customer, and route assignment</w:t>
      </w:r>
    </w:p>
    <w:p>
      <w:pPr>
        <w:pStyle w:val="ListParagraph"/>
        <w:numPr>
          <w:ilvl w:val="0"/>
          <w:numId w:val="2"/>
        </w:numPr>
        <w:spacing w:after="60"/>
      </w:pPr>
      <w:r>
        <w:rPr>
          <w:rFonts w:ascii="Arial" w:cs="Arial" w:eastAsia="Arial" w:hAnsi="Arial"/>
          <w:color w:val="1A1A1A"/>
          <w:sz w:val="20"/>
          <w:szCs w:val="20"/>
        </w:rPr>
        <w:t xml:space="preserve">Real-time load board with advanced filtering (status, type, date, driver, customer)</w:t>
      </w:r>
    </w:p>
    <w:p>
      <w:pPr>
        <w:pStyle w:val="ListParagraph"/>
        <w:numPr>
          <w:ilvl w:val="0"/>
          <w:numId w:val="2"/>
        </w:numPr>
        <w:spacing w:after="60"/>
      </w:pPr>
      <w:r>
        <w:rPr>
          <w:rFonts w:ascii="Arial" w:cs="Arial" w:eastAsia="Arial" w:hAnsi="Arial"/>
          <w:color w:val="1A1A1A"/>
          <w:sz w:val="20"/>
          <w:szCs w:val="20"/>
        </w:rPr>
        <w:t xml:space="preserve">Kanban-style pipeline view for visual status tracking</w:t>
      </w:r>
    </w:p>
    <w:p>
      <w:pPr>
        <w:pStyle w:val="ListParagraph"/>
        <w:numPr>
          <w:ilvl w:val="0"/>
          <w:numId w:val="2"/>
        </w:numPr>
        <w:spacing w:after="60"/>
      </w:pPr>
      <w:r>
        <w:rPr>
          <w:rFonts w:ascii="Arial" w:cs="Arial" w:eastAsia="Arial" w:hAnsi="Arial"/>
          <w:color w:val="1A1A1A"/>
          <w:sz w:val="20"/>
          <w:szCs w:val="20"/>
        </w:rPr>
        <w:t xml:space="preserve">Load detail panel with 10 tabs: Info, Billing, Documents, Payments, Routing, Driver Pay, Tracking, Messaging, Audit, Notes</w:t>
      </w:r>
    </w:p>
    <w:p>
      <w:pPr>
        <w:pStyle w:val="ListParagraph"/>
        <w:numPr>
          <w:ilvl w:val="0"/>
          <w:numId w:val="2"/>
        </w:numPr>
        <w:spacing w:after="60"/>
      </w:pPr>
      <w:r>
        <w:rPr>
          <w:rFonts w:ascii="Arial" w:cs="Arial" w:eastAsia="Arial" w:hAnsi="Arial"/>
          <w:color w:val="1A1A1A"/>
          <w:sz w:val="20"/>
          <w:szCs w:val="20"/>
        </w:rPr>
        <w:t xml:space="preserve">Driver assignment with availability checking</w:t>
      </w:r>
    </w:p>
    <w:p>
      <w:pPr>
        <w:pStyle w:val="ListParagraph"/>
        <w:numPr>
          <w:ilvl w:val="0"/>
          <w:numId w:val="2"/>
        </w:numPr>
        <w:spacing w:after="60"/>
      </w:pPr>
      <w:r>
        <w:rPr>
          <w:rFonts w:ascii="Arial" w:cs="Arial" w:eastAsia="Arial" w:hAnsi="Arial"/>
          <w:color w:val="1A1A1A"/>
          <w:sz w:val="20"/>
          <w:szCs w:val="20"/>
        </w:rPr>
        <w:t xml:space="preserve">Document upload and PDF generation (BOL, POD, Gate Pass, Rate Confirmation)</w:t>
      </w:r>
    </w:p>
    <w:p>
      <w:pPr>
        <w:pStyle w:val="ListParagraph"/>
        <w:numPr>
          <w:ilvl w:val="0"/>
          <w:numId w:val="2"/>
        </w:numPr>
        <w:spacing w:after="60"/>
      </w:pPr>
      <w:r>
        <w:rPr>
          <w:rFonts w:ascii="Arial" w:cs="Arial" w:eastAsia="Arial" w:hAnsi="Arial"/>
          <w:color w:val="1A1A1A"/>
          <w:sz w:val="20"/>
          <w:szCs w:val="20"/>
        </w:rPr>
        <w:t xml:space="preserve">Message threading per load for dispatch-driver communication</w:t>
      </w:r>
    </w:p>
    <w:p>
      <w:pPr>
        <w:pStyle w:val="ListParagraph"/>
        <w:numPr>
          <w:ilvl w:val="0"/>
          <w:numId w:val="2"/>
        </w:numPr>
        <w:spacing w:after="60"/>
      </w:pPr>
      <w:r>
        <w:rPr>
          <w:rFonts w:ascii="Arial" w:cs="Arial" w:eastAsia="Arial" w:hAnsi="Arial"/>
          <w:color w:val="1A1A1A"/>
          <w:sz w:val="20"/>
          <w:szCs w:val="20"/>
        </w:rPr>
        <w:t xml:space="preserve">Complete audit trail with timestamped change history</w:t>
      </w:r>
    </w:p>
    <w:p>
      <w:pPr>
        <w:spacing w:after="120"/>
      </w:pPr>
    </w:p>
    <w:p>
      <w:pPr>
        <w:pStyle w:val="Heading2"/>
        <w:spacing w:after="160" w:before="280"/>
      </w:pPr>
      <w:r>
        <w:rPr>
          <w:rFonts w:ascii="Arial" w:cs="Arial" w:eastAsia="Arial" w:hAnsi="Arial"/>
          <w:b/>
          <w:bCs/>
          <w:color w:val="1B2A4A"/>
          <w:sz w:val="26"/>
          <w:szCs w:val="26"/>
        </w:rPr>
        <w:t xml:space="preserve">4.2 Advanced Dispatch Features</w:t>
      </w:r>
    </w:p>
    <w:p>
      <w:pPr>
        <w:pStyle w:val="ListParagraph"/>
        <w:numPr>
          <w:ilvl w:val="0"/>
          <w:numId w:val="2"/>
        </w:numPr>
        <w:spacing w:after="60"/>
      </w:pPr>
      <w:r>
        <w:rPr>
          <w:rFonts w:ascii="Arial" w:cs="Arial" w:eastAsia="Arial" w:hAnsi="Arial"/>
          <w:color w:val="1A1A1A"/>
          <w:sz w:val="20"/>
          <w:szCs w:val="20"/>
        </w:rPr>
        <w:t xml:space="preserve">Problem Container Management — Flag and track containers with issues (holds, damage, missing docs)</w:t>
      </w:r>
    </w:p>
    <w:p>
      <w:pPr>
        <w:pStyle w:val="ListParagraph"/>
        <w:numPr>
          <w:ilvl w:val="0"/>
          <w:numId w:val="2"/>
        </w:numPr>
        <w:spacing w:after="60"/>
      </w:pPr>
      <w:r>
        <w:rPr>
          <w:rFonts w:ascii="Arial" w:cs="Arial" w:eastAsia="Arial" w:hAnsi="Arial"/>
          <w:color w:val="1A1A1A"/>
          <w:sz w:val="20"/>
          <w:szCs w:val="20"/>
        </w:rPr>
        <w:t xml:space="preserve">Street Turns — Match import delivery with export pickup to reduce empty miles</w:t>
      </w:r>
    </w:p>
    <w:p>
      <w:pPr>
        <w:pStyle w:val="ListParagraph"/>
        <w:numPr>
          <w:ilvl w:val="0"/>
          <w:numId w:val="2"/>
        </w:numPr>
        <w:spacing w:after="60"/>
      </w:pPr>
      <w:r>
        <w:rPr>
          <w:rFonts w:ascii="Arial" w:cs="Arial" w:eastAsia="Arial" w:hAnsi="Arial"/>
          <w:color w:val="1A1A1A"/>
          <w:sz w:val="20"/>
          <w:szCs w:val="20"/>
        </w:rPr>
        <w:t xml:space="preserve">Dual Transactions — Match multiple loads for combined efficiency</w:t>
      </w:r>
    </w:p>
    <w:p>
      <w:pPr>
        <w:pStyle w:val="ListParagraph"/>
        <w:numPr>
          <w:ilvl w:val="0"/>
          <w:numId w:val="2"/>
        </w:numPr>
        <w:spacing w:after="60"/>
      </w:pPr>
      <w:r>
        <w:rPr>
          <w:rFonts w:ascii="Arial" w:cs="Arial" w:eastAsia="Arial" w:hAnsi="Arial"/>
          <w:color w:val="1A1A1A"/>
          <w:sz w:val="20"/>
          <w:szCs w:val="20"/>
        </w:rPr>
        <w:t xml:space="preserve">Driver Itinerary — Visual timeline of driver assignments and routes</w:t>
      </w:r>
    </w:p>
    <w:p>
      <w:pPr>
        <w:pStyle w:val="ListParagraph"/>
        <w:numPr>
          <w:ilvl w:val="0"/>
          <w:numId w:val="2"/>
        </w:numPr>
        <w:spacing w:after="60"/>
      </w:pPr>
      <w:r>
        <w:rPr>
          <w:rFonts w:ascii="Arial" w:cs="Arial" w:eastAsia="Arial" w:hAnsi="Arial"/>
          <w:color w:val="1A1A1A"/>
          <w:sz w:val="20"/>
          <w:szCs w:val="20"/>
        </w:rPr>
        <w:t xml:space="preserve">Planner View — Route optimization and load planning</w:t>
      </w:r>
    </w:p>
    <w:p>
      <w:pPr>
        <w:spacing w:after="120"/>
      </w:pPr>
    </w:p>
    <w:p>
      <w:pPr>
        <w:pStyle w:val="Heading2"/>
        <w:spacing w:after="160" w:before="280"/>
      </w:pPr>
      <w:r>
        <w:rPr>
          <w:rFonts w:ascii="Arial" w:cs="Arial" w:eastAsia="Arial" w:hAnsi="Arial"/>
          <w:b/>
          <w:bCs/>
          <w:color w:val="1B2A4A"/>
          <w:sz w:val="26"/>
          <w:szCs w:val="26"/>
        </w:rPr>
        <w:t xml:space="preserve">4.3 Driver Pay &amp; Rate System</w:t>
      </w:r>
    </w:p>
    <w:p>
      <w:pPr>
        <w:spacing w:after="120"/>
      </w:pPr>
      <w:r>
        <w:rPr>
          <w:rFonts w:ascii="Arial" w:cs="Arial" w:eastAsia="Arial" w:hAnsi="Arial"/>
          <w:color w:val="1A1A1A"/>
          <w:sz w:val="20"/>
          <w:szCs w:val="20"/>
        </w:rPr>
        <w:t xml:space="preserve">A comprehensive rate profile system supporting complex drayage pay structures:</w:t>
      </w:r>
    </w:p>
    <w:p>
      <w:pPr>
        <w:pStyle w:val="ListParagraph"/>
        <w:numPr>
          <w:ilvl w:val="0"/>
          <w:numId w:val="2"/>
        </w:numPr>
        <w:spacing w:after="60"/>
      </w:pPr>
      <w:r>
        <w:rPr>
          <w:rFonts w:ascii="Arial" w:cs="Arial" w:eastAsia="Arial" w:hAnsi="Arial"/>
          <w:color w:val="1A1A1A"/>
          <w:sz w:val="20"/>
          <w:szCs w:val="20"/>
        </w:rPr>
        <w:t xml:space="preserve">Rate Profiles — Named tariff templates with effective/expiration dates</w:t>
      </w:r>
    </w:p>
    <w:p>
      <w:pPr>
        <w:pStyle w:val="ListParagraph"/>
        <w:numPr>
          <w:ilvl w:val="0"/>
          <w:numId w:val="2"/>
        </w:numPr>
        <w:spacing w:after="60"/>
      </w:pPr>
      <w:r>
        <w:rPr>
          <w:rFonts w:ascii="Arial" w:cs="Arial" w:eastAsia="Arial" w:hAnsi="Arial"/>
          <w:color w:val="1A1A1A"/>
          <w:sz w:val="20"/>
          <w:szCs w:val="20"/>
        </w:rPr>
        <w:t xml:space="preserve">Lane Types — Zonal (anchor point + mile-based zones) and Defined (specific origin/destination routes)</w:t>
      </w:r>
    </w:p>
    <w:p>
      <w:pPr>
        <w:pStyle w:val="ListParagraph"/>
        <w:numPr>
          <w:ilvl w:val="0"/>
          <w:numId w:val="2"/>
        </w:numPr>
        <w:spacing w:after="60"/>
      </w:pPr>
      <w:r>
        <w:rPr>
          <w:rFonts w:ascii="Arial" w:cs="Arial" w:eastAsia="Arial" w:hAnsi="Arial"/>
          <w:color w:val="1A1A1A"/>
          <w:sz w:val="20"/>
          <w:szCs w:val="20"/>
        </w:rPr>
        <w:t xml:space="preserve">Charge Codes — Standardized charge types (linehaul, fuel surcharge, detention, etc.)</w:t>
      </w:r>
    </w:p>
    <w:p>
      <w:pPr>
        <w:pStyle w:val="ListParagraph"/>
        <w:numPr>
          <w:ilvl w:val="0"/>
          <w:numId w:val="2"/>
        </w:numPr>
        <w:spacing w:after="60"/>
      </w:pPr>
      <w:r>
        <w:rPr>
          <w:rFonts w:ascii="Arial" w:cs="Arial" w:eastAsia="Arial" w:hAnsi="Arial"/>
          <w:color w:val="1A1A1A"/>
          <w:sz w:val="20"/>
          <w:szCs w:val="20"/>
        </w:rPr>
        <w:t xml:space="preserve">Calculation Modes — Between statuses, by event, by move, by leg</w:t>
      </w:r>
    </w:p>
    <w:p>
      <w:pPr>
        <w:pStyle w:val="ListParagraph"/>
        <w:numPr>
          <w:ilvl w:val="0"/>
          <w:numId w:val="2"/>
        </w:numPr>
        <w:spacing w:after="60"/>
      </w:pPr>
      <w:r>
        <w:rPr>
          <w:rFonts w:ascii="Arial" w:cs="Arial" w:eastAsia="Arial" w:hAnsi="Arial"/>
          <w:color w:val="1A1A1A"/>
          <w:sz w:val="20"/>
          <w:szCs w:val="20"/>
        </w:rPr>
        <w:t xml:space="preserve">Units of Measure — Per day, per hour, per pound, per mile, per toll mile, fixed, percentage, per 15 min, per move</w:t>
      </w:r>
    </w:p>
    <w:p>
      <w:pPr>
        <w:pStyle w:val="ListParagraph"/>
        <w:numPr>
          <w:ilvl w:val="0"/>
          <w:numId w:val="2"/>
        </w:numPr>
        <w:spacing w:after="60"/>
      </w:pPr>
      <w:r>
        <w:rPr>
          <w:rFonts w:ascii="Arial" w:cs="Arial" w:eastAsia="Arial" w:hAnsi="Arial"/>
          <w:color w:val="1A1A1A"/>
          <w:sz w:val="20"/>
          <w:szCs w:val="20"/>
        </w:rPr>
        <w:t xml:space="preserve">Conditional Charges — Rules with operators (equals, in, not in, greater than, etc.) for context-based pay</w:t>
      </w:r>
    </w:p>
    <w:p>
      <w:pPr>
        <w:pStyle w:val="ListParagraph"/>
        <w:numPr>
          <w:ilvl w:val="0"/>
          <w:numId w:val="2"/>
        </w:numPr>
        <w:spacing w:after="60"/>
      </w:pPr>
      <w:r>
        <w:rPr>
          <w:rFonts w:ascii="Arial" w:cs="Arial" w:eastAsia="Arial" w:hAnsi="Arial"/>
          <w:color w:val="1A1A1A"/>
          <w:sz w:val="20"/>
          <w:szCs w:val="20"/>
        </w:rPr>
        <w:t xml:space="preserve">Fill Down — Propagate values from one row to all rows below (rate, events, conditions)</w:t>
      </w:r>
    </w:p>
    <w:p>
      <w:pPr>
        <w:pStyle w:val="ListParagraph"/>
        <w:numPr>
          <w:ilvl w:val="0"/>
          <w:numId w:val="2"/>
        </w:numPr>
        <w:spacing w:after="60"/>
      </w:pPr>
      <w:r>
        <w:rPr>
          <w:rFonts w:ascii="Arial" w:cs="Arial" w:eastAsia="Arial" w:hAnsi="Arial"/>
          <w:color w:val="1A1A1A"/>
          <w:sz w:val="20"/>
          <w:szCs w:val="20"/>
        </w:rPr>
        <w:t xml:space="preserve">Zone Maps — Leaflet-based visualization of concentric zone rings around anchor points</w:t>
      </w:r>
    </w:p>
    <w:p>
      <w:pPr>
        <w:pStyle w:val="ListParagraph"/>
        <w:numPr>
          <w:ilvl w:val="0"/>
          <w:numId w:val="2"/>
        </w:numPr>
        <w:spacing w:after="60"/>
      </w:pPr>
      <w:r>
        <w:rPr>
          <w:rFonts w:ascii="Arial" w:cs="Arial" w:eastAsia="Arial" w:hAnsi="Arial"/>
          <w:color w:val="1A1A1A"/>
          <w:sz w:val="20"/>
          <w:szCs w:val="20"/>
        </w:rPr>
        <w:t xml:space="preserve">Pay Calculator — Interactive tool to test pay calculations against any load</w:t>
      </w:r>
    </w:p>
    <w:p>
      <w:pPr>
        <w:pStyle w:val="ListParagraph"/>
        <w:numPr>
          <w:ilvl w:val="0"/>
          <w:numId w:val="2"/>
        </w:numPr>
        <w:spacing w:after="60"/>
      </w:pPr>
      <w:r>
        <w:rPr>
          <w:rFonts w:ascii="Arial" w:cs="Arial" w:eastAsia="Arial" w:hAnsi="Arial"/>
          <w:color w:val="1A1A1A"/>
          <w:sz w:val="20"/>
          <w:szCs w:val="20"/>
        </w:rPr>
        <w:t xml:space="preserve">Deduction Management — 7 pre-configured deduction types (Fuel, Escrow, Insurance, etc.) with per-driver overrides</w:t>
      </w:r>
    </w:p>
    <w:p>
      <w:pPr>
        <w:pStyle w:val="ListParagraph"/>
        <w:numPr>
          <w:ilvl w:val="0"/>
          <w:numId w:val="2"/>
        </w:numPr>
        <w:spacing w:after="60"/>
      </w:pPr>
      <w:r>
        <w:rPr>
          <w:rFonts w:ascii="Arial" w:cs="Arial" w:eastAsia="Arial" w:hAnsi="Arial"/>
          <w:color w:val="1A1A1A"/>
          <w:sz w:val="20"/>
          <w:szCs w:val="20"/>
        </w:rPr>
        <w:t xml:space="preserve">Settlement Configuration — Daily, weekly, bi-weekly, or monthly settlement periods</w:t>
      </w:r>
    </w:p>
    <w:p>
      <w:pPr>
        <w:spacing w:after="120"/>
      </w:pPr>
    </w:p>
    <w:p>
      <w:pPr>
        <w:pStyle w:val="Heading2"/>
        <w:spacing w:after="160" w:before="280"/>
      </w:pPr>
      <w:r>
        <w:rPr>
          <w:rFonts w:ascii="Arial" w:cs="Arial" w:eastAsia="Arial" w:hAnsi="Arial"/>
          <w:b/>
          <w:bCs/>
          <w:color w:val="1B2A4A"/>
          <w:sz w:val="26"/>
          <w:szCs w:val="26"/>
        </w:rPr>
        <w:t xml:space="preserve">4.4 Port Houston Integration</w:t>
      </w:r>
    </w:p>
    <w:p>
      <w:pPr>
        <w:pStyle w:val="ListParagraph"/>
        <w:numPr>
          <w:ilvl w:val="0"/>
          <w:numId w:val="2"/>
        </w:numPr>
        <w:spacing w:after="60"/>
      </w:pPr>
      <w:r>
        <w:rPr>
          <w:rFonts w:ascii="Arial" w:cs="Arial" w:eastAsia="Arial" w:hAnsi="Arial"/>
          <w:color w:val="1A1A1A"/>
          <w:sz w:val="20"/>
          <w:szCs w:val="20"/>
        </w:rPr>
        <w:t xml:space="preserve">OAuth 2.0 authentication with automatic token rotation</w:t>
      </w:r>
    </w:p>
    <w:p>
      <w:pPr>
        <w:pStyle w:val="ListParagraph"/>
        <w:numPr>
          <w:ilvl w:val="0"/>
          <w:numId w:val="2"/>
        </w:numPr>
        <w:spacing w:after="60"/>
      </w:pPr>
      <w:r>
        <w:rPr>
          <w:rFonts w:ascii="Arial" w:cs="Arial" w:eastAsia="Arial" w:hAnsi="Arial"/>
          <w:color w:val="1A1A1A"/>
          <w:sz w:val="20"/>
          <w:szCs w:val="20"/>
        </w:rPr>
        <w:t xml:space="preserve">Real-time vessel ETA/ETD synchronization</w:t>
      </w:r>
    </w:p>
    <w:p>
      <w:pPr>
        <w:pStyle w:val="ListParagraph"/>
        <w:numPr>
          <w:ilvl w:val="0"/>
          <w:numId w:val="2"/>
        </w:numPr>
        <w:spacing w:after="60"/>
      </w:pPr>
      <w:r>
        <w:rPr>
          <w:rFonts w:ascii="Arial" w:cs="Arial" w:eastAsia="Arial" w:hAnsi="Arial"/>
          <w:color w:val="1A1A1A"/>
          <w:sz w:val="20"/>
          <w:szCs w:val="20"/>
        </w:rPr>
        <w:t xml:space="preserve">Container tracking (import/export status, holds, last free day)</w:t>
      </w:r>
    </w:p>
    <w:p>
      <w:pPr>
        <w:pStyle w:val="ListParagraph"/>
        <w:numPr>
          <w:ilvl w:val="0"/>
          <w:numId w:val="2"/>
        </w:numPr>
        <w:spacing w:after="60"/>
      </w:pPr>
      <w:r>
        <w:rPr>
          <w:rFonts w:ascii="Arial" w:cs="Arial" w:eastAsia="Arial" w:hAnsi="Arial"/>
          <w:color w:val="1A1A1A"/>
          <w:sz w:val="20"/>
          <w:szCs w:val="20"/>
        </w:rPr>
        <w:t xml:space="preserve">Batch processing optimized for 60-second Vercel timeout (25 containers/batch, 200 rows/upsert)</w:t>
      </w:r>
    </w:p>
    <w:p>
      <w:pPr>
        <w:spacing w:after="120"/>
      </w:pPr>
    </w:p>
    <w:p>
      <w:pPr>
        <w:pStyle w:val="Heading2"/>
        <w:spacing w:after="160" w:before="280"/>
      </w:pPr>
      <w:r>
        <w:rPr>
          <w:rFonts w:ascii="Arial" w:cs="Arial" w:eastAsia="Arial" w:hAnsi="Arial"/>
          <w:b/>
          <w:bCs/>
          <w:color w:val="1B2A4A"/>
          <w:sz w:val="26"/>
          <w:szCs w:val="26"/>
        </w:rPr>
        <w:t xml:space="preserve">4.5 Financial Module</w:t>
      </w:r>
    </w:p>
    <w:p>
      <w:pPr>
        <w:pStyle w:val="Heading3"/>
        <w:spacing w:after="120" w:before="200"/>
      </w:pPr>
      <w:r>
        <w:rPr>
          <w:rFonts w:ascii="Arial" w:cs="Arial" w:eastAsia="Arial" w:hAnsi="Arial"/>
          <w:b/>
          <w:bCs/>
          <w:color w:val="E8700A"/>
          <w:sz w:val="22"/>
          <w:szCs w:val="22"/>
        </w:rPr>
        <w:t xml:space="preserve">Accounts Receivable</w:t>
      </w:r>
    </w:p>
    <w:p>
      <w:pPr>
        <w:pStyle w:val="ListParagraph"/>
        <w:numPr>
          <w:ilvl w:val="0"/>
          <w:numId w:val="2"/>
        </w:numPr>
        <w:spacing w:after="60"/>
      </w:pPr>
      <w:r>
        <w:rPr>
          <w:rFonts w:ascii="Arial" w:cs="Arial" w:eastAsia="Arial" w:hAnsi="Arial"/>
          <w:color w:val="1A1A1A"/>
          <w:sz w:val="20"/>
          <w:szCs w:val="20"/>
        </w:rPr>
        <w:t xml:space="preserve">Invoice generation and management</w:t>
      </w:r>
    </w:p>
    <w:p>
      <w:pPr>
        <w:pStyle w:val="ListParagraph"/>
        <w:numPr>
          <w:ilvl w:val="0"/>
          <w:numId w:val="2"/>
        </w:numPr>
        <w:spacing w:after="60"/>
      </w:pPr>
      <w:r>
        <w:rPr>
          <w:rFonts w:ascii="Arial" w:cs="Arial" w:eastAsia="Arial" w:hAnsi="Arial"/>
          <w:color w:val="1A1A1A"/>
          <w:sz w:val="20"/>
          <w:szCs w:val="20"/>
        </w:rPr>
        <w:t xml:space="preserve">Payment tracking (applied and unapplied)</w:t>
      </w:r>
    </w:p>
    <w:p>
      <w:pPr>
        <w:pStyle w:val="ListParagraph"/>
        <w:numPr>
          <w:ilvl w:val="0"/>
          <w:numId w:val="2"/>
        </w:numPr>
        <w:spacing w:after="60"/>
      </w:pPr>
      <w:r>
        <w:rPr>
          <w:rFonts w:ascii="Arial" w:cs="Arial" w:eastAsia="Arial" w:hAnsi="Arial"/>
          <w:color w:val="1A1A1A"/>
          <w:sz w:val="20"/>
          <w:szCs w:val="20"/>
        </w:rPr>
        <w:t xml:space="preserve">A/R aging report (Current, 1-30, 31-60, 61-90, 90+ day buckets)</w:t>
      </w:r>
    </w:p>
    <w:p>
      <w:pPr>
        <w:pStyle w:val="ListParagraph"/>
        <w:numPr>
          <w:ilvl w:val="0"/>
          <w:numId w:val="2"/>
        </w:numPr>
        <w:spacing w:after="60"/>
      </w:pPr>
      <w:r>
        <w:rPr>
          <w:rFonts w:ascii="Arial" w:cs="Arial" w:eastAsia="Arial" w:hAnsi="Arial"/>
          <w:color w:val="1A1A1A"/>
          <w:sz w:val="20"/>
          <w:szCs w:val="20"/>
        </w:rPr>
        <w:t xml:space="preserve">Billing discrepancy and chassis audit reports</w:t>
      </w:r>
    </w:p>
    <w:p>
      <w:pPr>
        <w:pStyle w:val="ListParagraph"/>
        <w:numPr>
          <w:ilvl w:val="0"/>
          <w:numId w:val="2"/>
        </w:numPr>
        <w:spacing w:after="60"/>
      </w:pPr>
      <w:r>
        <w:rPr>
          <w:rFonts w:ascii="Arial" w:cs="Arial" w:eastAsia="Arial" w:hAnsi="Arial"/>
          <w:color w:val="1A1A1A"/>
          <w:sz w:val="20"/>
          <w:szCs w:val="20"/>
        </w:rPr>
        <w:t xml:space="preserve">Waiting time charge audit</w:t>
      </w:r>
    </w:p>
    <w:p>
      <w:pPr>
        <w:pStyle w:val="Heading3"/>
        <w:spacing w:after="120" w:before="200"/>
      </w:pPr>
      <w:r>
        <w:rPr>
          <w:rFonts w:ascii="Arial" w:cs="Arial" w:eastAsia="Arial" w:hAnsi="Arial"/>
          <w:b/>
          <w:bCs/>
          <w:color w:val="E8700A"/>
          <w:sz w:val="22"/>
          <w:szCs w:val="22"/>
        </w:rPr>
        <w:t xml:space="preserve">Accounts Payable</w:t>
      </w:r>
    </w:p>
    <w:p>
      <w:pPr>
        <w:pStyle w:val="ListParagraph"/>
        <w:numPr>
          <w:ilvl w:val="0"/>
          <w:numId w:val="2"/>
        </w:numPr>
        <w:spacing w:after="60"/>
      </w:pPr>
      <w:r>
        <w:rPr>
          <w:rFonts w:ascii="Arial" w:cs="Arial" w:eastAsia="Arial" w:hAnsi="Arial"/>
          <w:color w:val="1A1A1A"/>
          <w:sz w:val="20"/>
          <w:szCs w:val="20"/>
        </w:rPr>
        <w:t xml:space="preserve">Driver pay processing and settlement generation</w:t>
      </w:r>
    </w:p>
    <w:p>
      <w:pPr>
        <w:pStyle w:val="ListParagraph"/>
        <w:numPr>
          <w:ilvl w:val="0"/>
          <w:numId w:val="2"/>
        </w:numPr>
        <w:spacing w:after="60"/>
      </w:pPr>
      <w:r>
        <w:rPr>
          <w:rFonts w:ascii="Arial" w:cs="Arial" w:eastAsia="Arial" w:hAnsi="Arial"/>
          <w:color w:val="1A1A1A"/>
          <w:sz w:val="20"/>
          <w:szCs w:val="20"/>
        </w:rPr>
        <w:t xml:space="preserve">Deduction application with configurable limits</w:t>
      </w:r>
    </w:p>
    <w:p>
      <w:pPr>
        <w:pStyle w:val="ListParagraph"/>
        <w:numPr>
          <w:ilvl w:val="0"/>
          <w:numId w:val="2"/>
        </w:numPr>
        <w:spacing w:after="60"/>
      </w:pPr>
      <w:r>
        <w:rPr>
          <w:rFonts w:ascii="Arial" w:cs="Arial" w:eastAsia="Arial" w:hAnsi="Arial"/>
          <w:color w:val="1A1A1A"/>
          <w:sz w:val="20"/>
          <w:szCs w:val="20"/>
        </w:rPr>
        <w:t xml:space="preserve">Dynamic expense tracking</w:t>
      </w:r>
    </w:p>
    <w:p>
      <w:pPr>
        <w:pStyle w:val="ListParagraph"/>
        <w:numPr>
          <w:ilvl w:val="0"/>
          <w:numId w:val="2"/>
        </w:numPr>
        <w:spacing w:after="60"/>
      </w:pPr>
      <w:r>
        <w:rPr>
          <w:rFonts w:ascii="Arial" w:cs="Arial" w:eastAsia="Arial" w:hAnsi="Arial"/>
          <w:color w:val="1A1A1A"/>
          <w:sz w:val="20"/>
          <w:szCs w:val="20"/>
        </w:rPr>
        <w:t xml:space="preserve">CSV export for accounting system integration</w:t>
      </w:r>
    </w:p>
    <w:p>
      <w:pPr>
        <w:spacing w:after="120"/>
      </w:pPr>
    </w:p>
    <w:p>
      <w:pPr>
        <w:pStyle w:val="Heading2"/>
        <w:spacing w:after="160" w:before="280"/>
      </w:pPr>
      <w:r>
        <w:rPr>
          <w:rFonts w:ascii="Arial" w:cs="Arial" w:eastAsia="Arial" w:hAnsi="Arial"/>
          <w:b/>
          <w:bCs/>
          <w:color w:val="1B2A4A"/>
          <w:sz w:val="26"/>
          <w:szCs w:val="26"/>
        </w:rPr>
        <w:t xml:space="preserve">4.6 Reporting (12+ Reports)</w:t>
      </w:r>
    </w:p>
    <w:p>
      <w:pPr>
        <w:pStyle w:val="Heading3"/>
        <w:spacing w:after="120" w:before="200"/>
      </w:pPr>
      <w:r>
        <w:rPr>
          <w:rFonts w:ascii="Arial" w:cs="Arial" w:eastAsia="Arial" w:hAnsi="Arial"/>
          <w:b/>
          <w:bCs/>
          <w:color w:val="E8700A"/>
          <w:sz w:val="22"/>
          <w:szCs w:val="22"/>
        </w:rPr>
        <w:t xml:space="preserve">Financial Reports</w:t>
      </w:r>
    </w:p>
    <w:p>
      <w:pPr>
        <w:pStyle w:val="ListParagraph"/>
        <w:numPr>
          <w:ilvl w:val="0"/>
          <w:numId w:val="2"/>
        </w:numPr>
        <w:spacing w:after="60"/>
      </w:pPr>
      <w:r>
        <w:rPr>
          <w:rFonts w:ascii="Arial" w:cs="Arial" w:eastAsia="Arial" w:hAnsi="Arial"/>
          <w:color w:val="1A1A1A"/>
          <w:sz w:val="20"/>
          <w:szCs w:val="20"/>
        </w:rPr>
        <w:t xml:space="preserve">Revenue by Customer (with collection percentage)</w:t>
      </w:r>
    </w:p>
    <w:p>
      <w:pPr>
        <w:pStyle w:val="ListParagraph"/>
        <w:numPr>
          <w:ilvl w:val="0"/>
          <w:numId w:val="2"/>
        </w:numPr>
        <w:spacing w:after="60"/>
      </w:pPr>
      <w:r>
        <w:rPr>
          <w:rFonts w:ascii="Arial" w:cs="Arial" w:eastAsia="Arial" w:hAnsi="Arial"/>
          <w:color w:val="1A1A1A"/>
          <w:sz w:val="20"/>
          <w:szCs w:val="20"/>
        </w:rPr>
        <w:t xml:space="preserve">Profit Margin Analysis by Customer</w:t>
      </w:r>
    </w:p>
    <w:p>
      <w:pPr>
        <w:pStyle w:val="ListParagraph"/>
        <w:numPr>
          <w:ilvl w:val="0"/>
          <w:numId w:val="2"/>
        </w:numPr>
        <w:spacing w:after="60"/>
      </w:pPr>
      <w:r>
        <w:rPr>
          <w:rFonts w:ascii="Arial" w:cs="Arial" w:eastAsia="Arial" w:hAnsi="Arial"/>
          <w:color w:val="1A1A1A"/>
          <w:sz w:val="20"/>
          <w:szCs w:val="20"/>
        </w:rPr>
        <w:t xml:space="preserve">Settlement Summary (gross, deductions, net)</w:t>
      </w:r>
    </w:p>
    <w:p>
      <w:pPr>
        <w:pStyle w:val="ListParagraph"/>
        <w:numPr>
          <w:ilvl w:val="0"/>
          <w:numId w:val="2"/>
        </w:numPr>
        <w:spacing w:after="60"/>
      </w:pPr>
      <w:r>
        <w:rPr>
          <w:rFonts w:ascii="Arial" w:cs="Arial" w:eastAsia="Arial" w:hAnsi="Arial"/>
          <w:color w:val="1A1A1A"/>
          <w:sz w:val="20"/>
          <w:szCs w:val="20"/>
        </w:rPr>
        <w:t xml:space="preserve">Accessorial Analysis (charges by category)</w:t>
      </w:r>
    </w:p>
    <w:p>
      <w:pPr>
        <w:pStyle w:val="Heading3"/>
        <w:spacing w:after="120" w:before="200"/>
      </w:pPr>
      <w:r>
        <w:rPr>
          <w:rFonts w:ascii="Arial" w:cs="Arial" w:eastAsia="Arial" w:hAnsi="Arial"/>
          <w:b/>
          <w:bCs/>
          <w:color w:val="E8700A"/>
          <w:sz w:val="22"/>
          <w:szCs w:val="22"/>
        </w:rPr>
        <w:t xml:space="preserve">Operations Reports</w:t>
      </w:r>
    </w:p>
    <w:p>
      <w:pPr>
        <w:pStyle w:val="ListParagraph"/>
        <w:numPr>
          <w:ilvl w:val="0"/>
          <w:numId w:val="2"/>
        </w:numPr>
        <w:spacing w:after="60"/>
      </w:pPr>
      <w:r>
        <w:rPr>
          <w:rFonts w:ascii="Arial" w:cs="Arial" w:eastAsia="Arial" w:hAnsi="Arial"/>
          <w:color w:val="1A1A1A"/>
          <w:sz w:val="20"/>
          <w:szCs w:val="20"/>
        </w:rPr>
        <w:t xml:space="preserve">Driver Utilization — Efficiency metrics</w:t>
      </w:r>
    </w:p>
    <w:p>
      <w:pPr>
        <w:pStyle w:val="ListParagraph"/>
        <w:numPr>
          <w:ilvl w:val="0"/>
          <w:numId w:val="2"/>
        </w:numPr>
        <w:spacing w:after="60"/>
      </w:pPr>
      <w:r>
        <w:rPr>
          <w:rFonts w:ascii="Arial" w:cs="Arial" w:eastAsia="Arial" w:hAnsi="Arial"/>
          <w:color w:val="1A1A1A"/>
          <w:sz w:val="20"/>
          <w:szCs w:val="20"/>
        </w:rPr>
        <w:t xml:space="preserve">Demurrage Exposure — Per-container and per-customer</w:t>
      </w:r>
    </w:p>
    <w:p>
      <w:pPr>
        <w:pStyle w:val="ListParagraph"/>
        <w:numPr>
          <w:ilvl w:val="0"/>
          <w:numId w:val="2"/>
        </w:numPr>
        <w:spacing w:after="60"/>
      </w:pPr>
      <w:r>
        <w:rPr>
          <w:rFonts w:ascii="Arial" w:cs="Arial" w:eastAsia="Arial" w:hAnsi="Arial"/>
          <w:color w:val="1A1A1A"/>
          <w:sz w:val="20"/>
          <w:szCs w:val="20"/>
        </w:rPr>
        <w:t xml:space="preserve">Container Turn Times — Terminal performance</w:t>
      </w:r>
    </w:p>
    <w:p>
      <w:pPr>
        <w:pStyle w:val="ListParagraph"/>
        <w:numPr>
          <w:ilvl w:val="0"/>
          <w:numId w:val="2"/>
        </w:numPr>
        <w:spacing w:after="60"/>
      </w:pPr>
      <w:r>
        <w:rPr>
          <w:rFonts w:ascii="Arial" w:cs="Arial" w:eastAsia="Arial" w:hAnsi="Arial"/>
          <w:color w:val="1A1A1A"/>
          <w:sz w:val="20"/>
          <w:szCs w:val="20"/>
        </w:rPr>
        <w:t xml:space="preserve">Street Turn Savings — Cost avoidance tracking</w:t>
      </w:r>
    </w:p>
    <w:p>
      <w:pPr>
        <w:pStyle w:val="Heading3"/>
        <w:spacing w:after="120" w:before="200"/>
      </w:pPr>
      <w:r>
        <w:rPr>
          <w:rFonts w:ascii="Arial" w:cs="Arial" w:eastAsia="Arial" w:hAnsi="Arial"/>
          <w:b/>
          <w:bCs/>
          <w:color w:val="E8700A"/>
          <w:sz w:val="22"/>
          <w:szCs w:val="22"/>
        </w:rPr>
        <w:t xml:space="preserve">Audit Reports</w:t>
      </w:r>
    </w:p>
    <w:p>
      <w:pPr>
        <w:pStyle w:val="ListParagraph"/>
        <w:numPr>
          <w:ilvl w:val="0"/>
          <w:numId w:val="2"/>
        </w:numPr>
        <w:spacing w:after="60"/>
      </w:pPr>
      <w:r>
        <w:rPr>
          <w:rFonts w:ascii="Arial" w:cs="Arial" w:eastAsia="Arial" w:hAnsi="Arial"/>
          <w:color w:val="1A1A1A"/>
          <w:sz w:val="20"/>
          <w:szCs w:val="20"/>
        </w:rPr>
        <w:t xml:space="preserve">Chassis Equipment Audit</w:t>
      </w:r>
    </w:p>
    <w:p>
      <w:pPr>
        <w:pStyle w:val="ListParagraph"/>
        <w:numPr>
          <w:ilvl w:val="0"/>
          <w:numId w:val="2"/>
        </w:numPr>
        <w:spacing w:after="60"/>
      </w:pPr>
      <w:r>
        <w:rPr>
          <w:rFonts w:ascii="Arial" w:cs="Arial" w:eastAsia="Arial" w:hAnsi="Arial"/>
          <w:color w:val="1A1A1A"/>
          <w:sz w:val="20"/>
          <w:szCs w:val="20"/>
        </w:rPr>
        <w:t xml:space="preserve">Billing Discrepancy Report</w:t>
      </w:r>
    </w:p>
    <w:p>
      <w:pPr>
        <w:pStyle w:val="ListParagraph"/>
        <w:numPr>
          <w:ilvl w:val="0"/>
          <w:numId w:val="2"/>
        </w:numPr>
        <w:spacing w:after="60"/>
      </w:pPr>
      <w:r>
        <w:rPr>
          <w:rFonts w:ascii="Arial" w:cs="Arial" w:eastAsia="Arial" w:hAnsi="Arial"/>
          <w:color w:val="1A1A1A"/>
          <w:sz w:val="20"/>
          <w:szCs w:val="20"/>
        </w:rPr>
        <w:t xml:space="preserve">Waiting Time Analysis</w:t>
      </w:r>
    </w:p>
    <w:p>
      <w:pPr>
        <w:pStyle w:val="ListParagraph"/>
        <w:numPr>
          <w:ilvl w:val="0"/>
          <w:numId w:val="2"/>
        </w:numPr>
        <w:spacing w:after="60"/>
      </w:pPr>
      <w:r>
        <w:rPr>
          <w:rFonts w:ascii="Arial" w:cs="Arial" w:eastAsia="Arial" w:hAnsi="Arial"/>
          <w:color w:val="1A1A1A"/>
          <w:sz w:val="20"/>
          <w:szCs w:val="20"/>
        </w:rPr>
        <w:t xml:space="preserve">Payment Audit Trail</w:t>
      </w:r>
    </w:p>
    <w:p>
      <w:pPr>
        <w:spacing w:after="120"/>
      </w:pPr>
    </w:p>
    <w:p>
      <w:pPr>
        <w:pStyle w:val="Heading2"/>
        <w:spacing w:after="160" w:before="280"/>
      </w:pPr>
      <w:r>
        <w:rPr>
          <w:rFonts w:ascii="Arial" w:cs="Arial" w:eastAsia="Arial" w:hAnsi="Arial"/>
          <w:b/>
          <w:bCs/>
          <w:color w:val="1B2A4A"/>
          <w:sz w:val="26"/>
          <w:szCs w:val="26"/>
        </w:rPr>
        <w:t xml:space="preserve">4.7 Equipment Management</w:t>
      </w:r>
    </w:p>
    <w:p>
      <w:pPr>
        <w:pStyle w:val="ListParagraph"/>
        <w:numPr>
          <w:ilvl w:val="0"/>
          <w:numId w:val="2"/>
        </w:numPr>
        <w:spacing w:after="60"/>
      </w:pPr>
      <w:r>
        <w:rPr>
          <w:rFonts w:ascii="Arial" w:cs="Arial" w:eastAsia="Arial" w:hAnsi="Arial"/>
          <w:color w:val="1A1A1A"/>
          <w:sz w:val="20"/>
          <w:szCs w:val="20"/>
        </w:rPr>
        <w:t xml:space="preserve">Truck inventory (number, owner, type, status)</w:t>
      </w:r>
    </w:p>
    <w:p>
      <w:pPr>
        <w:pStyle w:val="ListParagraph"/>
        <w:numPr>
          <w:ilvl w:val="0"/>
          <w:numId w:val="2"/>
        </w:numPr>
        <w:spacing w:after="60"/>
      </w:pPr>
      <w:r>
        <w:rPr>
          <w:rFonts w:ascii="Arial" w:cs="Arial" w:eastAsia="Arial" w:hAnsi="Arial"/>
          <w:color w:val="1A1A1A"/>
          <w:sz w:val="20"/>
          <w:szCs w:val="20"/>
        </w:rPr>
        <w:t xml:space="preserve">Chassis inventory (number, size, type, status)</w:t>
      </w:r>
    </w:p>
    <w:p>
      <w:pPr>
        <w:pStyle w:val="ListParagraph"/>
        <w:numPr>
          <w:ilvl w:val="0"/>
          <w:numId w:val="2"/>
        </w:numPr>
        <w:spacing w:after="60"/>
      </w:pPr>
      <w:r>
        <w:rPr>
          <w:rFonts w:ascii="Arial" w:cs="Arial" w:eastAsia="Arial" w:hAnsi="Arial"/>
          <w:color w:val="1A1A1A"/>
          <w:sz w:val="20"/>
          <w:szCs w:val="20"/>
        </w:rPr>
        <w:t xml:space="preserve">Equipment assignment to drivers and loads</w:t>
      </w:r>
    </w:p>
    <w:p>
      <w:pPr>
        <w:spacing w:after="120"/>
      </w:pPr>
    </w:p>
    <w:p>
      <w:pPr>
        <w:pStyle w:val="Heading2"/>
        <w:spacing w:after="160" w:before="280"/>
      </w:pPr>
      <w:r>
        <w:rPr>
          <w:rFonts w:ascii="Arial" w:cs="Arial" w:eastAsia="Arial" w:hAnsi="Arial"/>
          <w:b/>
          <w:bCs/>
          <w:color w:val="1B2A4A"/>
          <w:sz w:val="26"/>
          <w:szCs w:val="26"/>
        </w:rPr>
        <w:t xml:space="preserve">4.8 Organization Management</w:t>
      </w:r>
    </w:p>
    <w:p>
      <w:pPr>
        <w:pStyle w:val="ListParagraph"/>
        <w:numPr>
          <w:ilvl w:val="0"/>
          <w:numId w:val="2"/>
        </w:numPr>
        <w:spacing w:after="60"/>
      </w:pPr>
      <w:r>
        <w:rPr>
          <w:rFonts w:ascii="Arial" w:cs="Arial" w:eastAsia="Arial" w:hAnsi="Arial"/>
          <w:color w:val="1A1A1A"/>
          <w:sz w:val="20"/>
          <w:szCs w:val="20"/>
        </w:rPr>
        <w:t xml:space="preserve">Customer, terminal, warehouse, and yard master data</w:t>
      </w:r>
    </w:p>
    <w:p>
      <w:pPr>
        <w:pStyle w:val="ListParagraph"/>
        <w:numPr>
          <w:ilvl w:val="0"/>
          <w:numId w:val="2"/>
        </w:numPr>
        <w:spacing w:after="60"/>
      </w:pPr>
      <w:r>
        <w:rPr>
          <w:rFonts w:ascii="Arial" w:cs="Arial" w:eastAsia="Arial" w:hAnsi="Arial"/>
          <w:color w:val="1A1A1A"/>
          <w:sz w:val="20"/>
          <w:szCs w:val="20"/>
        </w:rPr>
        <w:t xml:space="preserve">Location-based lookups used across dispatch, rating, and billing</w:t>
      </w:r>
    </w:p>
    <w:p>
      <w:r>
        <w:br w:type="page"/>
      </w:r>
    </w:p>
    <w:p>
      <w:pPr>
        <w:pStyle w:val="Heading1"/>
        <w:spacing w:after="200" w:before="360"/>
      </w:pPr>
      <w:r>
        <w:rPr>
          <w:rFonts w:ascii="Arial" w:cs="Arial" w:eastAsia="Arial" w:hAnsi="Arial"/>
          <w:b/>
          <w:bCs/>
          <w:color w:val="1B2A4A"/>
          <w:sz w:val="32"/>
          <w:szCs w:val="32"/>
        </w:rPr>
        <w:t xml:space="preserve">5. API Route Reference</w:t>
      </w:r>
    </w:p>
    <w:p>
      <w:pPr>
        <w:spacing w:after="120"/>
      </w:pPr>
      <w:r>
        <w:rPr>
          <w:rFonts w:ascii="Arial" w:cs="Arial" w:eastAsia="Arial" w:hAnsi="Arial"/>
          <w:color w:val="1A1A1A"/>
          <w:sz w:val="20"/>
          <w:szCs w:val="20"/>
        </w:rPr>
        <w:t xml:space="preserve">All API routes follow a consistent pattern: authenticate with Supabase, check user role, validate input, perform database operation, and return JSON. Routes are organized under /app/api/.</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18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Routes</w:t>
            </w:r>
          </w:p>
        </w:tc>
        <w:tc>
          <w:tcPr>
            <w:tcW w:type="dxa" w:w="5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Key Operations</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Dispatcher / Loads</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15+ endpoints</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CRUD, status updates, driver assignment, billing, documents, messages, audit trail, pipeline view</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Drivers</w:t>
            </w:r>
          </w:p>
        </w:tc>
        <w:tc>
          <w:tcPr>
            <w:tcW w:type="dxa" w:w="1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7 endpoints</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CRUD, document management</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Driver Pay Rates</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20+ endpoints</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Rate profiles, lanes, charges, conditions, zones, origins, charge codes, groups, calculator, assignments</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Settlements</w:t>
            </w:r>
          </w:p>
        </w:tc>
        <w:tc>
          <w:tcPr>
            <w:tcW w:type="dxa" w:w="1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4 endpoints</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Templates, driver settings, config</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Shipments</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5 endpoints</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CRUD, status updates, driver assignment</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Equipment</w:t>
            </w:r>
          </w:p>
        </w:tc>
        <w:tc>
          <w:tcPr>
            <w:tcW w:type="dxa" w:w="1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6 endpoints</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Trucks and chassis CRUD</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Port Houston</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3 endpoints</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Sync, token rotation, status</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A/R</w:t>
            </w:r>
          </w:p>
        </w:tc>
        <w:tc>
          <w:tcPr>
            <w:tcW w:type="dxa" w:w="1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10+ endpoints</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Invoices, payments, aging, audits</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A/P</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10+ endpoints</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Driver pay, deductions, settlements, expenses, CSV export</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Organizations</w:t>
            </w:r>
          </w:p>
        </w:tc>
        <w:tc>
          <w:tcPr>
            <w:tcW w:type="dxa" w:w="1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1 endpoint</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Location listings</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Admin</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1 endpoint</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Password change</w:t>
            </w:r>
          </w:p>
        </w:tc>
      </w:tr>
    </w:tbl>
    <w:p>
      <w:r>
        <w:br w:type="page"/>
      </w:r>
    </w:p>
    <w:p>
      <w:pPr>
        <w:pStyle w:val="Heading1"/>
        <w:spacing w:after="200" w:before="360"/>
      </w:pPr>
      <w:r>
        <w:rPr>
          <w:rFonts w:ascii="Arial" w:cs="Arial" w:eastAsia="Arial" w:hAnsi="Arial"/>
          <w:b/>
          <w:bCs/>
          <w:color w:val="1B2A4A"/>
          <w:sz w:val="32"/>
          <w:szCs w:val="32"/>
        </w:rPr>
        <w:t xml:space="preserve">6. Known Issues &amp; Incomplete Work</w:t>
      </w:r>
    </w:p>
    <w:p>
      <w:pPr>
        <w:pStyle w:val="Heading2"/>
        <w:spacing w:after="160" w:before="280"/>
      </w:pPr>
      <w:r>
        <w:rPr>
          <w:rFonts w:ascii="Arial" w:cs="Arial" w:eastAsia="Arial" w:hAnsi="Arial"/>
          <w:b/>
          <w:bCs/>
          <w:color w:val="1B2A4A"/>
          <w:sz w:val="26"/>
          <w:szCs w:val="26"/>
        </w:rPr>
        <w:t xml:space="preserve">6.1 Maps Not Displaying</w:t>
      </w:r>
    </w:p>
    <w:p>
      <w:pPr>
        <w:spacing w:after="120"/>
      </w:pPr>
      <w:r>
        <w:rPr>
          <w:rFonts w:ascii="Arial" w:cs="Arial" w:eastAsia="Arial" w:hAnsi="Arial"/>
          <w:color w:val="1A1A1A"/>
          <w:sz w:val="20"/>
          <w:szCs w:val="20"/>
        </w:rPr>
        <w:t xml:space="preserve">Zone maps require latitude/longitude on lane_origins records. Many origins created via the “auto-create from org” flow were missing coordinates because the organization tables do not store lat/lng. A server-side geocoding solution using OpenStreetMap Nominatim has been added (origins API POST endpoint now auto-geocodes, and a PATCH endpoint can backfill existing records). A “Fix Map Coordinates” button was added to the UI. However, origins that lack both city and state data cannot be geocoded and will need manual coordinate entry.</w:t>
      </w:r>
    </w:p>
    <w:p>
      <w:pPr>
        <w:spacing w:after="120"/>
      </w:pPr>
    </w:p>
    <w:p>
      <w:pPr>
        <w:pStyle w:val="Heading2"/>
        <w:spacing w:after="160" w:before="280"/>
      </w:pPr>
      <w:r>
        <w:rPr>
          <w:rFonts w:ascii="Arial" w:cs="Arial" w:eastAsia="Arial" w:hAnsi="Arial"/>
          <w:b/>
          <w:bCs/>
          <w:color w:val="1B2A4A"/>
          <w:sz w:val="26"/>
          <w:szCs w:val="26"/>
        </w:rPr>
        <w:t xml:space="preserve">6.2 No Test Coverage</w:t>
      </w:r>
    </w:p>
    <w:p>
      <w:pPr>
        <w:spacing w:after="120"/>
      </w:pPr>
      <w:r>
        <w:rPr>
          <w:rFonts w:ascii="Arial" w:cs="Arial" w:eastAsia="Arial" w:hAnsi="Arial"/>
          <w:color w:val="1A1A1A"/>
          <w:sz w:val="20"/>
          <w:szCs w:val="20"/>
        </w:rPr>
        <w:t xml:space="preserve">There are no test files, no test framework configured (no Jest, Vitest, or Playwright), and no CI/CD pipeline. This is the largest technical debt item. Recommendation: add Jest + @testing-library/react for unit/component tests, and Playwright for end-to-end testing. Critical paths to test first: pay calculator logic, load status pipeline, and the Port Houston sync flow.</w:t>
      </w:r>
    </w:p>
    <w:p>
      <w:pPr>
        <w:spacing w:after="120"/>
      </w:pPr>
    </w:p>
    <w:p>
      <w:pPr>
        <w:pStyle w:val="Heading2"/>
        <w:spacing w:after="160" w:before="280"/>
      </w:pPr>
      <w:r>
        <w:rPr>
          <w:rFonts w:ascii="Arial" w:cs="Arial" w:eastAsia="Arial" w:hAnsi="Arial"/>
          <w:b/>
          <w:bCs/>
          <w:color w:val="1B2A4A"/>
          <w:sz w:val="26"/>
          <w:szCs w:val="26"/>
        </w:rPr>
        <w:t xml:space="preserve">6.3 Hardcoded Terminal Names</w:t>
      </w:r>
    </w:p>
    <w:p>
      <w:pPr>
        <w:spacing w:after="120"/>
      </w:pPr>
      <w:r>
        <w:rPr>
          <w:rFonts w:ascii="Arial" w:cs="Arial" w:eastAsia="Arial" w:hAnsi="Arial"/>
          <w:color w:val="1A1A1A"/>
          <w:sz w:val="20"/>
          <w:szCs w:val="20"/>
        </w:rPr>
        <w:t xml:space="preserve">The VesselTable and ContainerTable components have hardcoded terminal names (BCT, BAY) that should be replaced with a database lookup from a terminals reference table. Marked with TODO comments in the code.</w:t>
      </w:r>
    </w:p>
    <w:p>
      <w:pPr>
        <w:spacing w:after="120"/>
      </w:pPr>
    </w:p>
    <w:p>
      <w:pPr>
        <w:pStyle w:val="Heading2"/>
        <w:spacing w:after="160" w:before="280"/>
      </w:pPr>
      <w:r>
        <w:rPr>
          <w:rFonts w:ascii="Arial" w:cs="Arial" w:eastAsia="Arial" w:hAnsi="Arial"/>
          <w:b/>
          <w:bCs/>
          <w:color w:val="1B2A4A"/>
          <w:sz w:val="26"/>
          <w:szCs w:val="26"/>
        </w:rPr>
        <w:t xml:space="preserve">6.4 Dual Transaction Savings Calculation</w:t>
      </w:r>
    </w:p>
    <w:p>
      <w:pPr>
        <w:spacing w:after="120"/>
      </w:pPr>
      <w:r>
        <w:rPr>
          <w:rFonts w:ascii="Arial" w:cs="Arial" w:eastAsia="Arial" w:hAnsi="Arial"/>
          <w:color w:val="1A1A1A"/>
          <w:sz w:val="20"/>
          <w:szCs w:val="20"/>
        </w:rPr>
        <w:t xml:space="preserve">The dual transactions estimated savings field is hardcoded to 0. A TODO comment notes this should calculate from the actual distance between import delivery and export pickup locations.</w:t>
      </w:r>
    </w:p>
    <w:p>
      <w:pPr>
        <w:spacing w:after="120"/>
      </w:pPr>
    </w:p>
    <w:p>
      <w:pPr>
        <w:pStyle w:val="Heading2"/>
        <w:spacing w:after="160" w:before="280"/>
      </w:pPr>
      <w:r>
        <w:rPr>
          <w:rFonts w:ascii="Arial" w:cs="Arial" w:eastAsia="Arial" w:hAnsi="Arial"/>
          <w:b/>
          <w:bCs/>
          <w:color w:val="1B2A4A"/>
          <w:sz w:val="26"/>
          <w:szCs w:val="26"/>
        </w:rPr>
        <w:t xml:space="preserve">6.5 Fill Down Edge Cases</w:t>
      </w:r>
    </w:p>
    <w:p>
      <w:pPr>
        <w:spacing w:after="120"/>
      </w:pPr>
      <w:r>
        <w:rPr>
          <w:rFonts w:ascii="Arial" w:cs="Arial" w:eastAsia="Arial" w:hAnsi="Arial"/>
          <w:color w:val="1A1A1A"/>
          <w:sz w:val="20"/>
          <w:szCs w:val="20"/>
        </w:rPr>
        <w:t xml:space="preserve">The fill down condition_type function was recently fixed to avoid clearing condition_value fields on target rows (previously, the handleConditionUpdate function’s intentional “clear stale values” behavior was triggered during fill down). The fix bypasses handleConditionUpdate and directly PATCHes only the specific condition field. This should be monitored for regressions.</w:t>
      </w:r>
    </w:p>
    <w:p>
      <w:pPr>
        <w:spacing w:after="120"/>
      </w:pPr>
    </w:p>
    <w:p>
      <w:pPr>
        <w:pStyle w:val="Heading2"/>
        <w:spacing w:after="160" w:before="280"/>
      </w:pPr>
      <w:r>
        <w:rPr>
          <w:rFonts w:ascii="Arial" w:cs="Arial" w:eastAsia="Arial" w:hAnsi="Arial"/>
          <w:b/>
          <w:bCs/>
          <w:color w:val="1B2A4A"/>
          <w:sz w:val="26"/>
          <w:szCs w:val="26"/>
        </w:rPr>
        <w:t xml:space="preserve">6.6 Build Environment</w:t>
      </w:r>
    </w:p>
    <w:p>
      <w:pPr>
        <w:spacing w:after="120"/>
      </w:pPr>
      <w:r>
        <w:rPr>
          <w:rFonts w:ascii="Arial" w:cs="Arial" w:eastAsia="Arial" w:hAnsi="Arial"/>
          <w:color w:val="1A1A1A"/>
          <w:sz w:val="20"/>
          <w:szCs w:val="20"/>
        </w:rPr>
        <w:t xml:space="preserve">The Next.js build requires the SWC binary for the target architecture. Development is done on macOS (ARM64). The build has been verified to compile clean via TypeScript (npx tsc --noEmit). Production builds should be run in the target deployment environment (Vercel handles this automatically).</w:t>
      </w:r>
    </w:p>
    <w:p>
      <w:r>
        <w:br w:type="page"/>
      </w:r>
    </w:p>
    <w:p>
      <w:pPr>
        <w:pStyle w:val="Heading1"/>
        <w:spacing w:after="200" w:before="360"/>
      </w:pPr>
      <w:r>
        <w:rPr>
          <w:rFonts w:ascii="Arial" w:cs="Arial" w:eastAsia="Arial" w:hAnsi="Arial"/>
          <w:b/>
          <w:bCs/>
          <w:color w:val="1B2A4A"/>
          <w:sz w:val="32"/>
          <w:szCs w:val="32"/>
        </w:rPr>
        <w:t xml:space="preserve">7. Key Files to Understand First</w:t>
      </w:r>
    </w:p>
    <w:p>
      <w:pPr>
        <w:spacing w:after="120"/>
      </w:pPr>
      <w:r>
        <w:rPr>
          <w:rFonts w:ascii="Arial" w:cs="Arial" w:eastAsia="Arial" w:hAnsi="Arial"/>
          <w:color w:val="1A1A1A"/>
          <w:sz w:val="20"/>
          <w:szCs w:val="20"/>
        </w:rPr>
        <w:t xml:space="preserve">A new developer should start with these files to understand the system architecture: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File</w:t>
            </w:r>
          </w:p>
        </w:tc>
        <w:tc>
          <w:tcPr>
            <w:tcW w:type="dxa" w:w="12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 (Approx)</w:t>
            </w:r>
          </w:p>
        </w:tc>
        <w:tc>
          <w:tcPr>
            <w:tcW w:type="dxa" w:w="4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It Does</w:t>
            </w:r>
          </w:p>
        </w:tc>
      </w:tr>
      <w:tr>
        <w:tc>
          <w:tcPr>
            <w:tcW w:type="dxa" w:w="3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middleware.ts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~80</w:t>
            </w:r>
          </w:p>
        </w:tc>
        <w:tc>
          <w:tcPr>
            <w:tcW w:type="dxa" w:w="4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Authentication flow, route protection, MFA enforcement</w:t>
            </w:r>
          </w:p>
        </w:tc>
      </w:tr>
      <w:tr>
        <w:tc>
          <w:tcPr>
            <w:tcW w:type="dxa" w:w="3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components/tables/RateProfilesView.tsx</w:t>
            </w:r>
          </w:p>
        </w:tc>
        <w:tc>
          <w:tcPr>
            <w:tcW w:type="dxa" w:w="1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~2900</w:t>
            </w:r>
          </w:p>
        </w:tc>
        <w:tc>
          <w:tcPr>
            <w:tcW w:type="dxa" w:w="4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Most complex component: rate profiles, lanes, charges, conditions, zone maps, fill down, inline editing</w:t>
            </w:r>
          </w:p>
        </w:tc>
      </w:tr>
      <w:tr>
        <w:tc>
          <w:tcPr>
            <w:tcW w:type="dxa" w:w="3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lib/pay-calculator.ts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~300</w:t>
            </w:r>
          </w:p>
        </w:tc>
        <w:tc>
          <w:tcPr>
            <w:tcW w:type="dxa" w:w="4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Core pay calculation engine with accessorial evaluation</w:t>
            </w:r>
          </w:p>
        </w:tc>
      </w:tr>
      <w:tr>
        <w:tc>
          <w:tcPr>
            <w:tcW w:type="dxa" w:w="3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components/dispatcher/LoadDetailPanel.tsx</w:t>
            </w:r>
          </w:p>
        </w:tc>
        <w:tc>
          <w:tcPr>
            <w:tcW w:type="dxa" w:w="1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~500</w:t>
            </w:r>
          </w:p>
        </w:tc>
        <w:tc>
          <w:tcPr>
            <w:tcW w:type="dxa" w:w="4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Load detail panel with 10-tab interface</w:t>
            </w:r>
          </w:p>
        </w:tc>
      </w:tr>
      <w:tr>
        <w:tc>
          <w:tcPr>
            <w:tcW w:type="dxa" w:w="3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lib/port-houston/sync.ts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~400</w:t>
            </w:r>
          </w:p>
        </w:tc>
        <w:tc>
          <w:tcPr>
            <w:tcW w:type="dxa" w:w="4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Port Houston API sync orchestration</w:t>
            </w:r>
          </w:p>
        </w:tc>
      </w:tr>
      <w:tr>
        <w:tc>
          <w:tcPr>
            <w:tcW w:type="dxa" w:w="3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app/api/drivers/pay-rates/calculate/route.ts</w:t>
            </w:r>
          </w:p>
        </w:tc>
        <w:tc>
          <w:tcPr>
            <w:tcW w:type="dxa" w:w="1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~200</w:t>
            </w:r>
          </w:p>
        </w:tc>
        <w:tc>
          <w:tcPr>
            <w:tcW w:type="dxa" w:w="4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Server-side pay calculation API</w:t>
            </w:r>
          </w:p>
        </w:tc>
      </w:tr>
      <w:tr>
        <w:tc>
          <w:tcPr>
            <w:tcW w:type="dxa" w:w="3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app/api/drivers/pay-rates/origins/route.ts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~200</w:t>
            </w:r>
          </w:p>
        </w:tc>
        <w:tc>
          <w:tcPr>
            <w:tcW w:type="dxa" w:w="4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Origin management with geocoding</w:t>
            </w:r>
          </w:p>
        </w:tc>
      </w:tr>
      <w:tr>
        <w:tc>
          <w:tcPr>
            <w:tcW w:type="dxa" w:w="3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components/tables/PayCalculatorView.tsx</w:t>
            </w:r>
          </w:p>
        </w:tc>
        <w:tc>
          <w:tcPr>
            <w:tcW w:type="dxa" w:w="1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~500</w:t>
            </w:r>
          </w:p>
        </w:tc>
        <w:tc>
          <w:tcPr>
            <w:tcW w:type="dxa" w:w="4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Interactive pay calculator UI</w:t>
            </w:r>
          </w:p>
        </w:tc>
      </w:tr>
      <w:tr>
        <w:tc>
          <w:tcPr>
            <w:tcW w:type="dxa" w:w="3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lib/supabase/server.ts</w:t>
            </w:r>
          </w:p>
        </w:tc>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~30</w:t>
            </w:r>
          </w:p>
        </w:tc>
        <w:tc>
          <w:tcPr>
            <w:tcW w:type="dxa" w:w="4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color w:val="1A1A1A"/>
                <w:sz w:val="18"/>
                <w:szCs w:val="18"/>
              </w:rPr>
              <w:t xml:space="preserve">Server-side Supabase client initialization</w:t>
            </w:r>
          </w:p>
        </w:tc>
      </w:tr>
      <w:tr>
        <w:tc>
          <w:tcPr>
            <w:tcW w:type="dxa" w:w="3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app/dashboard/page.tsx</w:t>
            </w:r>
          </w:p>
        </w:tc>
        <w:tc>
          <w:tcPr>
            <w:tcW w:type="dxa" w:w="1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~100</w:t>
            </w:r>
          </w:p>
        </w:tc>
        <w:tc>
          <w:tcPr>
            <w:tcW w:type="dxa" w:w="4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tcPr>
          <w:p>
            <w:r>
              <w:rPr>
                <w:rFonts w:ascii="Arial" w:cs="Arial" w:eastAsia="Arial" w:hAnsi="Arial"/>
                <w:color w:val="1A1A1A"/>
                <w:sz w:val="18"/>
                <w:szCs w:val="18"/>
              </w:rPr>
              <w:t xml:space="preserve">Dashboard entry point and navigation structure</w:t>
            </w:r>
          </w:p>
        </w:tc>
      </w:tr>
    </w:tbl>
    <w:p>
      <w:r>
        <w:br w:type="page"/>
      </w:r>
    </w:p>
    <w:p>
      <w:pPr>
        <w:pStyle w:val="Heading1"/>
        <w:spacing w:after="200" w:before="360"/>
      </w:pPr>
      <w:r>
        <w:rPr>
          <w:rFonts w:ascii="Arial" w:cs="Arial" w:eastAsia="Arial" w:hAnsi="Arial"/>
          <w:b/>
          <w:bCs/>
          <w:color w:val="1B2A4A"/>
          <w:sz w:val="32"/>
          <w:szCs w:val="32"/>
        </w:rPr>
        <w:t xml:space="preserve">8. Development Setup</w:t>
      </w:r>
    </w:p>
    <w:p>
      <w:pPr>
        <w:pStyle w:val="Heading2"/>
        <w:spacing w:after="160" w:before="280"/>
      </w:pPr>
      <w:r>
        <w:rPr>
          <w:rFonts w:ascii="Arial" w:cs="Arial" w:eastAsia="Arial" w:hAnsi="Arial"/>
          <w:b/>
          <w:bCs/>
          <w:color w:val="1B2A4A"/>
          <w:sz w:val="26"/>
          <w:szCs w:val="26"/>
        </w:rPr>
        <w:t xml:space="preserve">Prerequisites</w:t>
      </w:r>
    </w:p>
    <w:p>
      <w:pPr>
        <w:pStyle w:val="ListParagraph"/>
        <w:numPr>
          <w:ilvl w:val="0"/>
          <w:numId w:val="2"/>
        </w:numPr>
        <w:spacing w:after="60"/>
      </w:pPr>
      <w:r>
        <w:rPr>
          <w:rFonts w:ascii="Arial" w:cs="Arial" w:eastAsia="Arial" w:hAnsi="Arial"/>
          <w:color w:val="1A1A1A"/>
          <w:sz w:val="20"/>
          <w:szCs w:val="20"/>
        </w:rPr>
        <w:t xml:space="preserve">Node.js 18+ and npm</w:t>
      </w:r>
    </w:p>
    <w:p>
      <w:pPr>
        <w:pStyle w:val="ListParagraph"/>
        <w:numPr>
          <w:ilvl w:val="0"/>
          <w:numId w:val="2"/>
        </w:numPr>
        <w:spacing w:after="60"/>
      </w:pPr>
      <w:r>
        <w:rPr>
          <w:rFonts w:ascii="Arial" w:cs="Arial" w:eastAsia="Arial" w:hAnsi="Arial"/>
          <w:color w:val="1A1A1A"/>
          <w:sz w:val="20"/>
          <w:szCs w:val="20"/>
        </w:rPr>
        <w:t xml:space="preserve">Git</w:t>
      </w:r>
    </w:p>
    <w:p>
      <w:pPr>
        <w:pStyle w:val="ListParagraph"/>
        <w:numPr>
          <w:ilvl w:val="0"/>
          <w:numId w:val="2"/>
        </w:numPr>
        <w:spacing w:after="60"/>
      </w:pPr>
      <w:r>
        <w:rPr>
          <w:rFonts w:ascii="Arial" w:cs="Arial" w:eastAsia="Arial" w:hAnsi="Arial"/>
          <w:color w:val="1A1A1A"/>
          <w:sz w:val="20"/>
          <w:szCs w:val="20"/>
        </w:rPr>
        <w:t xml:space="preserve">Supabase account and project</w:t>
      </w:r>
    </w:p>
    <w:p>
      <w:pPr>
        <w:pStyle w:val="ListParagraph"/>
        <w:numPr>
          <w:ilvl w:val="0"/>
          <w:numId w:val="2"/>
        </w:numPr>
        <w:spacing w:after="60"/>
      </w:pPr>
      <w:r>
        <w:rPr>
          <w:rFonts w:ascii="Arial" w:cs="Arial" w:eastAsia="Arial" w:hAnsi="Arial"/>
          <w:color w:val="1A1A1A"/>
          <w:sz w:val="20"/>
          <w:szCs w:val="20"/>
        </w:rPr>
        <w:t xml:space="preserve">Port Houston API credentials (for container tracking)</w:t>
      </w:r>
    </w:p>
    <w:p>
      <w:pPr>
        <w:spacing w:after="120"/>
      </w:pPr>
    </w:p>
    <w:p>
      <w:pPr>
        <w:pStyle w:val="Heading2"/>
        <w:spacing w:after="160" w:before="280"/>
      </w:pPr>
      <w:r>
        <w:rPr>
          <w:rFonts w:ascii="Arial" w:cs="Arial" w:eastAsia="Arial" w:hAnsi="Arial"/>
          <w:b/>
          <w:bCs/>
          <w:color w:val="1B2A4A"/>
          <w:sz w:val="26"/>
          <w:szCs w:val="26"/>
        </w:rPr>
        <w:t xml:space="preserve">Quick Start</w:t>
      </w:r>
    </w:p>
    <w:p>
      <w:pPr>
        <w:spacing w:after="120"/>
      </w:pPr>
      <w:r>
        <w:rPr>
          <w:rFonts w:ascii="Arial" w:cs="Arial" w:eastAsia="Arial" w:hAnsi="Arial"/>
          <w:b/>
          <w:bCs/>
          <w:color w:val="1A1A1A"/>
          <w:sz w:val="20"/>
          <w:szCs w:val="20"/>
        </w:rPr>
        <w:t xml:space="preserve">1. Clone the repository:</w:t>
      </w:r>
    </w:p>
    <w:p>
      <w:pPr>
        <w:spacing w:after="120"/>
      </w:pPr>
      <w:r>
        <w:rPr>
          <w:rFonts w:ascii="Arial" w:cs="Arial" w:eastAsia="Arial" w:hAnsi="Arial"/>
          <w:color w:val="555555"/>
          <w:sz w:val="20"/>
          <w:szCs w:val="20"/>
        </w:rPr>
        <w:t xml:space="preserve">git clone https://github.com/ianv-sudo/tigerhawk-tms.git</w:t>
      </w:r>
    </w:p>
    <w:p>
      <w:pPr>
        <w:spacing w:after="60"/>
      </w:pPr>
    </w:p>
    <w:p>
      <w:pPr>
        <w:spacing w:after="120"/>
      </w:pPr>
      <w:r>
        <w:rPr>
          <w:rFonts w:ascii="Arial" w:cs="Arial" w:eastAsia="Arial" w:hAnsi="Arial"/>
          <w:b/>
          <w:bCs/>
          <w:color w:val="1A1A1A"/>
          <w:sz w:val="20"/>
          <w:szCs w:val="20"/>
        </w:rPr>
        <w:t xml:space="preserve">2. Install dependencies:</w:t>
      </w:r>
    </w:p>
    <w:p>
      <w:pPr>
        <w:spacing w:after="120"/>
      </w:pPr>
      <w:r>
        <w:rPr>
          <w:rFonts w:ascii="Arial" w:cs="Arial" w:eastAsia="Arial" w:hAnsi="Arial"/>
          <w:color w:val="555555"/>
          <w:sz w:val="20"/>
          <w:szCs w:val="20"/>
        </w:rPr>
        <w:t xml:space="preserve">npm install</w:t>
      </w:r>
    </w:p>
    <w:p>
      <w:pPr>
        <w:spacing w:after="60"/>
      </w:pPr>
    </w:p>
    <w:p>
      <w:pPr>
        <w:spacing w:after="120"/>
      </w:pPr>
      <w:r>
        <w:rPr>
          <w:rFonts w:ascii="Arial" w:cs="Arial" w:eastAsia="Arial" w:hAnsi="Arial"/>
          <w:b/>
          <w:bCs/>
          <w:color w:val="1A1A1A"/>
          <w:sz w:val="20"/>
          <w:szCs w:val="20"/>
        </w:rPr>
        <w:t xml:space="preserve">3. Configure environment:</w:t>
      </w:r>
    </w:p>
    <w:p>
      <w:pPr>
        <w:spacing w:after="120"/>
      </w:pPr>
      <w:r>
        <w:rPr>
          <w:rFonts w:ascii="Arial" w:cs="Arial" w:eastAsia="Arial" w:hAnsi="Arial"/>
          <w:color w:val="555555"/>
          <w:sz w:val="20"/>
          <w:szCs w:val="20"/>
        </w:rPr>
        <w:t xml:space="preserve">cp env.example .env.local — then fill in all required values</w:t>
      </w:r>
    </w:p>
    <w:p>
      <w:pPr>
        <w:spacing w:after="60"/>
      </w:pPr>
    </w:p>
    <w:p>
      <w:pPr>
        <w:spacing w:after="120"/>
      </w:pPr>
      <w:r>
        <w:rPr>
          <w:rFonts w:ascii="Arial" w:cs="Arial" w:eastAsia="Arial" w:hAnsi="Arial"/>
          <w:b/>
          <w:bCs/>
          <w:color w:val="1A1A1A"/>
          <w:sz w:val="20"/>
          <w:szCs w:val="20"/>
        </w:rPr>
        <w:t xml:space="preserve">4. Run database migrations:</w:t>
      </w:r>
    </w:p>
    <w:p>
      <w:pPr>
        <w:spacing w:after="120"/>
      </w:pPr>
      <w:r>
        <w:rPr>
          <w:rFonts w:ascii="Arial" w:cs="Arial" w:eastAsia="Arial" w:hAnsi="Arial"/>
          <w:color w:val="555555"/>
          <w:sz w:val="20"/>
          <w:szCs w:val="20"/>
        </w:rPr>
        <w:t xml:space="preserve">Apply the 12 migration files in supabase/migrations/ in order via the Supabase dashboard or CLI</w:t>
      </w:r>
    </w:p>
    <w:p>
      <w:pPr>
        <w:spacing w:after="60"/>
      </w:pPr>
    </w:p>
    <w:p>
      <w:pPr>
        <w:spacing w:after="120"/>
      </w:pPr>
      <w:r>
        <w:rPr>
          <w:rFonts w:ascii="Arial" w:cs="Arial" w:eastAsia="Arial" w:hAnsi="Arial"/>
          <w:b/>
          <w:bCs/>
          <w:color w:val="1A1A1A"/>
          <w:sz w:val="20"/>
          <w:szCs w:val="20"/>
        </w:rPr>
        <w:t xml:space="preserve">5. Start development server:</w:t>
      </w:r>
    </w:p>
    <w:p>
      <w:pPr>
        <w:spacing w:after="120"/>
      </w:pPr>
      <w:r>
        <w:rPr>
          <w:rFonts w:ascii="Arial" w:cs="Arial" w:eastAsia="Arial" w:hAnsi="Arial"/>
          <w:color w:val="555555"/>
          <w:sz w:val="20"/>
          <w:szCs w:val="20"/>
        </w:rPr>
        <w:t xml:space="preserve">npm run dev — runs on localhost:3000</w:t>
      </w:r>
    </w:p>
    <w:p>
      <w:pPr>
        <w:spacing w:after="60"/>
      </w:pPr>
    </w:p>
    <w:p>
      <w:pPr>
        <w:spacing w:after="120"/>
      </w:pPr>
      <w:r>
        <w:rPr>
          <w:rFonts w:ascii="Arial" w:cs="Arial" w:eastAsia="Arial" w:hAnsi="Arial"/>
          <w:b/>
          <w:bCs/>
          <w:color w:val="1A1A1A"/>
          <w:sz w:val="20"/>
          <w:szCs w:val="20"/>
        </w:rPr>
        <w:t xml:space="preserve">6. Create first admin user:</w:t>
      </w:r>
    </w:p>
    <w:p>
      <w:pPr>
        <w:spacing w:after="120"/>
      </w:pPr>
      <w:r>
        <w:rPr>
          <w:rFonts w:ascii="Arial" w:cs="Arial" w:eastAsia="Arial" w:hAnsi="Arial"/>
          <w:color w:val="555555"/>
          <w:sz w:val="20"/>
          <w:szCs w:val="20"/>
        </w:rPr>
        <w:t xml:space="preserve">Sign up via the login page, then manually set role to ‘admin’ in the user_profiles table via Supabase dashboard</w:t>
      </w:r>
    </w:p>
    <w:p>
      <w:pPr>
        <w:spacing w:after="120"/>
      </w:pPr>
    </w:p>
    <w:p>
      <w:pPr>
        <w:pStyle w:val="Heading2"/>
        <w:spacing w:after="160" w:before="280"/>
      </w:pPr>
      <w:r>
        <w:rPr>
          <w:rFonts w:ascii="Arial" w:cs="Arial" w:eastAsia="Arial" w:hAnsi="Arial"/>
          <w:b/>
          <w:bCs/>
          <w:color w:val="1B2A4A"/>
          <w:sz w:val="26"/>
          <w:szCs w:val="26"/>
        </w:rPr>
        <w:t xml:space="preserve">Build &amp; Deploy</w:t>
      </w:r>
    </w:p>
    <w:p>
      <w:pPr>
        <w:pStyle w:val="ListParagraph"/>
        <w:numPr>
          <w:ilvl w:val="0"/>
          <w:numId w:val="2"/>
        </w:numPr>
        <w:spacing w:after="60"/>
      </w:pPr>
      <w:r>
        <w:rPr>
          <w:rFonts w:ascii="Arial" w:cs="Arial" w:eastAsia="Arial" w:hAnsi="Arial"/>
          <w:color w:val="1A1A1A"/>
          <w:sz w:val="20"/>
          <w:szCs w:val="20"/>
        </w:rPr>
        <w:t xml:space="preserve">npm run build — Production build</w:t>
      </w:r>
    </w:p>
    <w:p>
      <w:pPr>
        <w:pStyle w:val="ListParagraph"/>
        <w:numPr>
          <w:ilvl w:val="0"/>
          <w:numId w:val="2"/>
        </w:numPr>
        <w:spacing w:after="60"/>
      </w:pPr>
      <w:r>
        <w:rPr>
          <w:rFonts w:ascii="Arial" w:cs="Arial" w:eastAsia="Arial" w:hAnsi="Arial"/>
          <w:color w:val="1A1A1A"/>
          <w:sz w:val="20"/>
          <w:szCs w:val="20"/>
        </w:rPr>
        <w:t xml:space="preserve">npm run start — Production server</w:t>
      </w:r>
    </w:p>
    <w:p>
      <w:pPr>
        <w:pStyle w:val="ListParagraph"/>
        <w:numPr>
          <w:ilvl w:val="0"/>
          <w:numId w:val="2"/>
        </w:numPr>
        <w:spacing w:after="60"/>
      </w:pPr>
      <w:r>
        <w:rPr>
          <w:rFonts w:ascii="Arial" w:cs="Arial" w:eastAsia="Arial" w:hAnsi="Arial"/>
          <w:color w:val="1A1A1A"/>
          <w:sz w:val="20"/>
          <w:szCs w:val="20"/>
        </w:rPr>
        <w:t xml:space="preserve">npm run lint — ESLint check</w:t>
      </w:r>
    </w:p>
    <w:p>
      <w:pPr>
        <w:pStyle w:val="ListParagraph"/>
        <w:numPr>
          <w:ilvl w:val="0"/>
          <w:numId w:val="2"/>
        </w:numPr>
        <w:spacing w:after="60"/>
      </w:pPr>
      <w:r>
        <w:rPr>
          <w:rFonts w:ascii="Arial" w:cs="Arial" w:eastAsia="Arial" w:hAnsi="Arial"/>
          <w:color w:val="1A1A1A"/>
          <w:sz w:val="20"/>
          <w:szCs w:val="20"/>
        </w:rPr>
        <w:t xml:space="preserve">npx tsc --noEmit — TypeScript type check</w:t>
      </w:r>
    </w:p>
    <w:p>
      <w:pPr>
        <w:pStyle w:val="ListParagraph"/>
        <w:numPr>
          <w:ilvl w:val="0"/>
          <w:numId w:val="2"/>
        </w:numPr>
        <w:spacing w:after="60"/>
      </w:pPr>
      <w:r>
        <w:rPr>
          <w:rFonts w:ascii="Arial" w:cs="Arial" w:eastAsia="Arial" w:hAnsi="Arial"/>
          <w:color w:val="1A1A1A"/>
          <w:sz w:val="20"/>
          <w:szCs w:val="20"/>
        </w:rPr>
        <w:t xml:space="preserve">Deployment target: Vercel (vercel.json exists in repo)</w:t>
      </w:r>
    </w:p>
    <w:p>
      <w:r>
        <w:br w:type="page"/>
      </w:r>
    </w:p>
    <w:p>
      <w:pPr>
        <w:pStyle w:val="Heading1"/>
        <w:spacing w:after="200" w:before="360"/>
      </w:pPr>
      <w:r>
        <w:rPr>
          <w:rFonts w:ascii="Arial" w:cs="Arial" w:eastAsia="Arial" w:hAnsi="Arial"/>
          <w:b/>
          <w:bCs/>
          <w:color w:val="1B2A4A"/>
          <w:sz w:val="32"/>
          <w:szCs w:val="32"/>
        </w:rPr>
        <w:t xml:space="preserve">9. Recommended Next Steps</w:t>
      </w:r>
    </w:p>
    <w:p>
      <w:pPr>
        <w:pStyle w:val="Heading2"/>
        <w:spacing w:after="160" w:before="280"/>
      </w:pPr>
      <w:r>
        <w:rPr>
          <w:rFonts w:ascii="Arial" w:cs="Arial" w:eastAsia="Arial" w:hAnsi="Arial"/>
          <w:b/>
          <w:bCs/>
          <w:color w:val="1B2A4A"/>
          <w:sz w:val="26"/>
          <w:szCs w:val="26"/>
        </w:rPr>
        <w:t xml:space="preserve">High Priority</w:t>
      </w:r>
    </w:p>
    <w:p>
      <w:pPr>
        <w:pStyle w:val="ListParagraph"/>
        <w:numPr>
          <w:ilvl w:val="0"/>
          <w:numId w:val="2"/>
        </w:numPr>
        <w:spacing w:after="60"/>
      </w:pPr>
      <w:r>
        <w:rPr>
          <w:rFonts w:ascii="Arial" w:cs="Arial" w:eastAsia="Arial" w:hAnsi="Arial"/>
          <w:color w:val="1A1A1A"/>
          <w:sz w:val="20"/>
          <w:szCs w:val="20"/>
        </w:rPr>
        <w:t xml:space="preserve">Add test framework (Jest + @testing-library/react) and write tests for the pay calculator, load status transitions, and Port Houston sync</w:t>
      </w:r>
    </w:p>
    <w:p>
      <w:pPr>
        <w:pStyle w:val="ListParagraph"/>
        <w:numPr>
          <w:ilvl w:val="0"/>
          <w:numId w:val="2"/>
        </w:numPr>
        <w:spacing w:after="60"/>
      </w:pPr>
      <w:r>
        <w:rPr>
          <w:rFonts w:ascii="Arial" w:cs="Arial" w:eastAsia="Arial" w:hAnsi="Arial"/>
          <w:color w:val="1A1A1A"/>
          <w:sz w:val="20"/>
          <w:szCs w:val="20"/>
        </w:rPr>
        <w:t xml:space="preserve">Set up CI/CD pipeline (GitHub Actions) with lint, type check, and test steps</w:t>
      </w:r>
    </w:p>
    <w:p>
      <w:pPr>
        <w:pStyle w:val="ListParagraph"/>
        <w:numPr>
          <w:ilvl w:val="0"/>
          <w:numId w:val="2"/>
        </w:numPr>
        <w:spacing w:after="60"/>
      </w:pPr>
      <w:r>
        <w:rPr>
          <w:rFonts w:ascii="Arial" w:cs="Arial" w:eastAsia="Arial" w:hAnsi="Arial"/>
          <w:color w:val="1A1A1A"/>
          <w:sz w:val="20"/>
          <w:szCs w:val="20"/>
        </w:rPr>
        <w:t xml:space="preserve">Backfill geocoded coordinates for all existing lane origins missing lat/lng</w:t>
      </w:r>
    </w:p>
    <w:p>
      <w:pPr>
        <w:pStyle w:val="ListParagraph"/>
        <w:numPr>
          <w:ilvl w:val="0"/>
          <w:numId w:val="2"/>
        </w:numPr>
        <w:spacing w:after="60"/>
      </w:pPr>
      <w:r>
        <w:rPr>
          <w:rFonts w:ascii="Arial" w:cs="Arial" w:eastAsia="Arial" w:hAnsi="Arial"/>
          <w:color w:val="1A1A1A"/>
          <w:sz w:val="20"/>
          <w:szCs w:val="20"/>
        </w:rPr>
        <w:t xml:space="preserve">Replace hardcoded terminal names with database-driven lookup</w:t>
      </w:r>
    </w:p>
    <w:p>
      <w:pPr>
        <w:spacing w:after="120"/>
      </w:pPr>
    </w:p>
    <w:p>
      <w:pPr>
        <w:pStyle w:val="Heading2"/>
        <w:spacing w:after="160" w:before="280"/>
      </w:pPr>
      <w:r>
        <w:rPr>
          <w:rFonts w:ascii="Arial" w:cs="Arial" w:eastAsia="Arial" w:hAnsi="Arial"/>
          <w:b/>
          <w:bCs/>
          <w:color w:val="1B2A4A"/>
          <w:sz w:val="26"/>
          <w:szCs w:val="26"/>
        </w:rPr>
        <w:t xml:space="preserve">Medium Priority</w:t>
      </w:r>
    </w:p>
    <w:p>
      <w:pPr>
        <w:pStyle w:val="ListParagraph"/>
        <w:numPr>
          <w:ilvl w:val="0"/>
          <w:numId w:val="2"/>
        </w:numPr>
        <w:spacing w:after="60"/>
      </w:pPr>
      <w:r>
        <w:rPr>
          <w:rFonts w:ascii="Arial" w:cs="Arial" w:eastAsia="Arial" w:hAnsi="Arial"/>
          <w:color w:val="1A1A1A"/>
          <w:sz w:val="20"/>
          <w:szCs w:val="20"/>
        </w:rPr>
        <w:t xml:space="preserve">Implement dual transaction savings calculation based on actual distances</w:t>
      </w:r>
    </w:p>
    <w:p>
      <w:pPr>
        <w:pStyle w:val="ListParagraph"/>
        <w:numPr>
          <w:ilvl w:val="0"/>
          <w:numId w:val="2"/>
        </w:numPr>
        <w:spacing w:after="60"/>
      </w:pPr>
      <w:r>
        <w:rPr>
          <w:rFonts w:ascii="Arial" w:cs="Arial" w:eastAsia="Arial" w:hAnsi="Arial"/>
          <w:color w:val="1A1A1A"/>
          <w:sz w:val="20"/>
          <w:szCs w:val="20"/>
        </w:rPr>
        <w:t xml:space="preserve">Add real-time notifications via Supabase Realtime (WebSocket channels)</w:t>
      </w:r>
    </w:p>
    <w:p>
      <w:pPr>
        <w:pStyle w:val="ListParagraph"/>
        <w:numPr>
          <w:ilvl w:val="0"/>
          <w:numId w:val="2"/>
        </w:numPr>
        <w:spacing w:after="60"/>
      </w:pPr>
      <w:r>
        <w:rPr>
          <w:rFonts w:ascii="Arial" w:cs="Arial" w:eastAsia="Arial" w:hAnsi="Arial"/>
          <w:color w:val="1A1A1A"/>
          <w:sz w:val="20"/>
          <w:szCs w:val="20"/>
        </w:rPr>
        <w:t xml:space="preserve">Implement driver mobile view for load status updates and document upload</w:t>
      </w:r>
    </w:p>
    <w:p>
      <w:pPr>
        <w:pStyle w:val="ListParagraph"/>
        <w:numPr>
          <w:ilvl w:val="0"/>
          <w:numId w:val="2"/>
        </w:numPr>
        <w:spacing w:after="60"/>
      </w:pPr>
      <w:r>
        <w:rPr>
          <w:rFonts w:ascii="Arial" w:cs="Arial" w:eastAsia="Arial" w:hAnsi="Arial"/>
          <w:color w:val="1A1A1A"/>
          <w:sz w:val="20"/>
          <w:szCs w:val="20"/>
        </w:rPr>
        <w:t xml:space="preserve">Add data export functionality across all major table views</w:t>
      </w:r>
    </w:p>
    <w:p>
      <w:pPr>
        <w:pStyle w:val="ListParagraph"/>
        <w:numPr>
          <w:ilvl w:val="0"/>
          <w:numId w:val="2"/>
        </w:numPr>
        <w:spacing w:after="60"/>
      </w:pPr>
      <w:r>
        <w:rPr>
          <w:rFonts w:ascii="Arial" w:cs="Arial" w:eastAsia="Arial" w:hAnsi="Arial"/>
          <w:color w:val="1A1A1A"/>
          <w:sz w:val="20"/>
          <w:szCs w:val="20"/>
        </w:rPr>
        <w:t xml:space="preserve">Implement proper error boundaries and loading states across all pages</w:t>
      </w:r>
    </w:p>
    <w:p>
      <w:pPr>
        <w:spacing w:after="120"/>
      </w:pPr>
    </w:p>
    <w:p>
      <w:pPr>
        <w:pStyle w:val="Heading2"/>
        <w:spacing w:after="160" w:before="280"/>
      </w:pPr>
      <w:r>
        <w:rPr>
          <w:rFonts w:ascii="Arial" w:cs="Arial" w:eastAsia="Arial" w:hAnsi="Arial"/>
          <w:b/>
          <w:bCs/>
          <w:color w:val="1B2A4A"/>
          <w:sz w:val="26"/>
          <w:szCs w:val="26"/>
        </w:rPr>
        <w:t xml:space="preserve">Low Priority</w:t>
      </w:r>
    </w:p>
    <w:p>
      <w:pPr>
        <w:pStyle w:val="ListParagraph"/>
        <w:numPr>
          <w:ilvl w:val="0"/>
          <w:numId w:val="2"/>
        </w:numPr>
        <w:spacing w:after="60"/>
      </w:pPr>
      <w:r>
        <w:rPr>
          <w:rFonts w:ascii="Arial" w:cs="Arial" w:eastAsia="Arial" w:hAnsi="Arial"/>
          <w:color w:val="1A1A1A"/>
          <w:sz w:val="20"/>
          <w:szCs w:val="20"/>
        </w:rPr>
        <w:t xml:space="preserve">Add dark/light theme toggle (currently dark theme only)</w:t>
      </w:r>
    </w:p>
    <w:p>
      <w:pPr>
        <w:pStyle w:val="ListParagraph"/>
        <w:numPr>
          <w:ilvl w:val="0"/>
          <w:numId w:val="2"/>
        </w:numPr>
        <w:spacing w:after="60"/>
      </w:pPr>
      <w:r>
        <w:rPr>
          <w:rFonts w:ascii="Arial" w:cs="Arial" w:eastAsia="Arial" w:hAnsi="Arial"/>
          <w:color w:val="1A1A1A"/>
          <w:sz w:val="20"/>
          <w:szCs w:val="20"/>
        </w:rPr>
        <w:t xml:space="preserve">Implement keyboard shortcuts for common dispatch operations</w:t>
      </w:r>
    </w:p>
    <w:p>
      <w:pPr>
        <w:pStyle w:val="ListParagraph"/>
        <w:numPr>
          <w:ilvl w:val="0"/>
          <w:numId w:val="2"/>
        </w:numPr>
        <w:spacing w:after="60"/>
      </w:pPr>
      <w:r>
        <w:rPr>
          <w:rFonts w:ascii="Arial" w:cs="Arial" w:eastAsia="Arial" w:hAnsi="Arial"/>
          <w:color w:val="1A1A1A"/>
          <w:sz w:val="20"/>
          <w:szCs w:val="20"/>
        </w:rPr>
        <w:t xml:space="preserve">Add advanced analytics dashboard with trend charts</w:t>
      </w:r>
    </w:p>
    <w:p>
      <w:pPr>
        <w:pStyle w:val="ListParagraph"/>
        <w:numPr>
          <w:ilvl w:val="0"/>
          <w:numId w:val="2"/>
        </w:numPr>
        <w:spacing w:after="60"/>
      </w:pPr>
      <w:r>
        <w:rPr>
          <w:rFonts w:ascii="Arial" w:cs="Arial" w:eastAsia="Arial" w:hAnsi="Arial"/>
          <w:color w:val="1A1A1A"/>
          <w:sz w:val="20"/>
          <w:szCs w:val="20"/>
        </w:rPr>
        <w:t xml:space="preserve">Implement email notifications for load status changes and settlement reports</w:t>
      </w:r>
    </w:p>
    <w:p>
      <w:pPr>
        <w:pStyle w:val="ListParagraph"/>
        <w:numPr>
          <w:ilvl w:val="0"/>
          <w:numId w:val="2"/>
        </w:numPr>
        <w:spacing w:after="60"/>
      </w:pPr>
      <w:r>
        <w:rPr>
          <w:rFonts w:ascii="Arial" w:cs="Arial" w:eastAsia="Arial" w:hAnsi="Arial"/>
          <w:color w:val="1A1A1A"/>
          <w:sz w:val="20"/>
          <w:szCs w:val="20"/>
        </w:rPr>
        <w:t xml:space="preserve">Add CSV/Excel import for bulk data operations</w:t>
      </w:r>
    </w:p>
    <w:p>
      <w:pPr>
        <w:spacing w:after="300"/>
      </w:pPr>
    </w:p>
    <w:p>
      <w:pPr>
        <w:pBdr>
          <w:top w:val="single" w:color="E8700A" w:sz="2" w:space="8"/>
        </w:pBdr>
        <w:spacing w:before="200"/>
        <w:jc w:val="center"/>
      </w:pPr>
      <w:r>
        <w:rPr>
          <w:rFonts w:ascii="Arial" w:cs="Arial" w:eastAsia="Arial" w:hAnsi="Arial"/>
          <w:i/>
          <w:iCs/>
          <w:color w:val="555555"/>
          <w:sz w:val="20"/>
          <w:szCs w:val="20"/>
        </w:rPr>
        <w:t xml:space="preserve">End of Document</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00A" w:sz="2" w:space="4"/>
      </w:pBdr>
      <w:tabs>
        <w:tab w:val="right" w:pos="9026"/>
      </w:tabs>
    </w:pPr>
    <w:r>
      <w:rPr>
        <w:rFonts w:ascii="Arial" w:cs="Arial" w:eastAsia="Arial" w:hAnsi="Arial"/>
        <w:b/>
        <w:bCs/>
        <w:color w:val="1B2A4A"/>
        <w:sz w:val="16"/>
        <w:szCs w:val="16"/>
      </w:rPr>
      <w:t xml:space="preserve">TigerHawk TMS</w:t>
    </w:r>
    <w:r>
      <w:rPr>
        <w:rFonts w:ascii="Arial" w:cs="Arial" w:eastAsia="Arial" w:hAnsi="Arial"/>
        <w:color w:val="555555"/>
        <w:sz w:val="16"/>
        <w:szCs w:val="16"/>
      </w:rPr>
      <w:t xml:space="preserve">	Technical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E870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2026-02-26T23:00:20.511Z</dcterms:created>
  <dcterms:modified xsi:type="dcterms:W3CDTF">2026-02-26T23:00:20.511Z</dcterms:modified>
</cp:coreProperties>
</file>

<file path=docProps/custom.xml><?xml version="1.0" encoding="utf-8"?>
<Properties xmlns="http://schemas.openxmlformats.org/officeDocument/2006/custom-properties" xmlns:vt="http://schemas.openxmlformats.org/officeDocument/2006/docPropsVTypes"/>
</file>