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048"/>
        <w:gridCol w:w="4392"/>
      </w:tblGrid>
      <w:tr>
        <w:tc>
          <w:tcPr>
            <w:tcW w:type="dxa" w:w="5040"/>
            <w:shd w:val="clear" w:color="auto" w:fill="0F172A"/>
          </w:tcPr>
          <w:p>
            <w:pPr>
              <w:spacing w:before="200" w:after="40"/>
            </w:pPr>
            <w:r>
              <w:rPr>
                <w:b/>
                <w:color w:val="FFFFFF"/>
                <w:sz w:val="44"/>
              </w:rPr>
              <w:t>eWork Social</w:t>
            </w:r>
          </w:p>
          <w:p>
            <w:pPr>
              <w:spacing w:before="0" w:after="200"/>
            </w:pPr>
            <w:r>
              <w:rPr>
                <w:i/>
                <w:color w:val="93C5FD"/>
                <w:sz w:val="18"/>
              </w:rPr>
              <w:t>AI-Powered Agency Operating System</w:t>
            </w:r>
          </w:p>
        </w:tc>
        <w:tc>
          <w:tcPr>
            <w:tcW w:type="dxa" w:w="5040"/>
            <w:shd w:val="clear" w:color="auto" w:fill="0F172A"/>
            <w:vAlign w:val="center"/>
          </w:tcPr>
          <w:p>
            <w:pPr>
              <w:spacing w:before="200" w:after="40"/>
              <w:jc w:val="right"/>
            </w:pPr>
            <w:r>
              <w:rPr>
                <w:b/>
                <w:color w:val="FFFFFF"/>
                <w:sz w:val="20"/>
              </w:rPr>
              <w:t>Bernard Oshapi</w:t>
            </w:r>
          </w:p>
          <w:p>
            <w:pPr>
              <w:spacing w:before="0" w:after="40"/>
              <w:jc w:val="right"/>
            </w:pPr>
            <w:r>
              <w:rPr>
                <w:color w:val="93C5FD"/>
                <w:sz w:val="18"/>
              </w:rPr>
              <w:t>Founder &amp; CEO</w:t>
            </w:r>
          </w:p>
          <w:p>
            <w:pPr>
              <w:spacing w:before="0" w:after="40"/>
              <w:jc w:val="right"/>
            </w:pPr>
            <w:r>
              <w:rPr>
                <w:color w:val="60A5FA"/>
                <w:sz w:val="18"/>
              </w:rPr>
              <w:t>www.eworksocial.com</w:t>
            </w:r>
          </w:p>
          <w:p>
            <w:pPr>
              <w:spacing w:before="0" w:after="200"/>
              <w:jc w:val="right"/>
            </w:pPr>
            <w:r>
              <w:rPr>
                <w:color w:val="60A5FA"/>
                <w:sz w:val="18"/>
              </w:rPr>
              <w:t>aiservices.agent@gmail.com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563EB"/>
          <w:sz w:val="22"/>
        </w:rPr>
        <w:t>What is eWork Social?</w:t>
      </w:r>
    </w:p>
    <w:p>
      <w:pPr>
        <w:spacing w:before="0" w:after="0"/>
        <w:pBdr>
          <w:bottom w:val="single" w:sz="6" w:space="1" w:color="2563EB"/>
        </w:pBdr>
      </w:pPr>
    </w:p>
    <w:p>
      <w:pPr>
        <w:spacing w:before="80" w:after="120"/>
      </w:pPr>
      <w:r>
        <w:rPr>
          <w:color w:val="0F172A"/>
          <w:sz w:val="20"/>
        </w:rPr>
        <w:t>eWork Social is a full-stack social media management platform built for digital marketing agencies, freelance strategists, and brands managing multiple clients and platforms. It replaces 5+ disconnected tools with a single workspace: post scheduling, client CRM, AI caption writing, analytics, auto-responder, team management, and billing — all in one dashboard.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256"/>
      </w:tblGrid>
      <w:tr>
        <w:tc>
          <w:tcPr>
            <w:tcW w:type="dxa" w:w="5040"/>
            <w:shd w:val="clear" w:color="auto" w:fill="EFF6FF"/>
            <w:tcBorders>
              <w:top w:val="single" w:sz="6" w:space="0" w:color="BFDBFE"/>
            </w:tcBorders>
            <w:tcBorders>
              <w:bottom w:val="single" w:sz="6" w:space="0" w:color="BFDBFE"/>
            </w:tcBorders>
            <w:tcBorders>
              <w:left w:val="single" w:sz="6" w:space="0" w:color="BFDBFE"/>
            </w:tcBorders>
            <w:tcBorders>
              <w:right w:val="single" w:sz="6" w:space="0" w:color="BFDBFE"/>
            </w:tcBorders>
          </w:tcPr>
          <w:p>
            <w:pPr>
              <w:spacing w:before="160" w:after="80"/>
            </w:pPr>
            <w:r>
              <w:rPr>
                <w:b/>
                <w:color w:val="2563EB"/>
                <w:sz w:val="20"/>
              </w:rPr>
              <w:t>Who it's built for</w:t>
            </w:r>
          </w:p>
          <w:p>
            <w:pPr>
              <w:spacing w:before="20" w:after="20"/>
              <w:ind w:left="200"/>
            </w:pPr>
            <w:r>
              <w:rPr>
                <w:color w:val="0F172A"/>
                <w:sz w:val="19"/>
              </w:rPr>
              <w:t xml:space="preserve">  Digital marketing agencies</w:t>
            </w:r>
          </w:p>
          <w:p>
            <w:pPr>
              <w:spacing w:before="20" w:after="20"/>
              <w:ind w:left="200"/>
            </w:pPr>
            <w:r>
              <w:rPr>
                <w:color w:val="0F172A"/>
                <w:sz w:val="19"/>
              </w:rPr>
              <w:t xml:space="preserve">  Freelance social media strategists</w:t>
            </w:r>
          </w:p>
          <w:p>
            <w:pPr>
              <w:spacing w:before="20" w:after="20"/>
              <w:ind w:left="200"/>
            </w:pPr>
            <w:r>
              <w:rPr>
                <w:color w:val="0F172A"/>
                <w:sz w:val="19"/>
              </w:rPr>
              <w:t xml:space="preserve">  Content creators managing brand clients</w:t>
            </w:r>
          </w:p>
          <w:p>
            <w:pPr>
              <w:spacing w:before="20" w:after="20"/>
              <w:ind w:left="200"/>
            </w:pPr>
            <w:r>
              <w:rPr>
                <w:color w:val="0F172A"/>
                <w:sz w:val="19"/>
              </w:rPr>
              <w:t xml:space="preserve">  SMEs running multi-platform social</w:t>
            </w:r>
          </w:p>
          <w:p>
            <w:pPr>
              <w:spacing w:before="20" w:after="20"/>
              <w:ind w:left="200"/>
            </w:pPr>
            <w:r>
              <w:rPr>
                <w:color w:val="0F172A"/>
                <w:sz w:val="19"/>
              </w:rPr>
              <w:t xml:space="preserve">  SaaS companies with social workflows</w:t>
            </w:r>
          </w:p>
          <w:p>
            <w:pPr>
              <w:spacing w:after="120"/>
            </w:pPr>
          </w:p>
        </w:tc>
        <w:tc>
          <w:tcPr>
            <w:tcW w:type="dxa" w:w="5040"/>
            <w:shd w:val="clear" w:color="auto" w:fill="F0FDF4"/>
            <w:tcBorders>
              <w:top w:val="single" w:sz="6" w:space="0" w:color="BBF7D0"/>
            </w:tcBorders>
            <w:tcBorders>
              <w:bottom w:val="single" w:sz="6" w:space="0" w:color="BBF7D0"/>
            </w:tcBorders>
            <w:tcBorders>
              <w:left w:val="single" w:sz="6" w:space="0" w:color="BBF7D0"/>
            </w:tcBorders>
            <w:tcBorders>
              <w:right w:val="single" w:sz="6" w:space="0" w:color="BBF7D0"/>
            </w:tcBorders>
          </w:tcPr>
          <w:p>
            <w:pPr>
              <w:spacing w:before="160" w:after="80"/>
            </w:pPr>
            <w:r>
              <w:rPr>
                <w:b/>
                <w:color w:val="059669"/>
                <w:sz w:val="20"/>
              </w:rPr>
              <w:t>What's live today</w:t>
            </w:r>
          </w:p>
          <w:p>
            <w:pPr>
              <w:spacing w:before="20" w:after="20"/>
              <w:ind w:left="200"/>
            </w:pPr>
            <w:r>
              <w:rPr>
                <w:color w:val="0F172A"/>
                <w:sz w:val="19"/>
              </w:rPr>
              <w:t xml:space="preserve">  Multi-platform post scheduler (8+ platforms)</w:t>
            </w:r>
          </w:p>
          <w:p>
            <w:pPr>
              <w:spacing w:before="20" w:after="20"/>
              <w:ind w:left="200"/>
            </w:pPr>
            <w:r>
              <w:rPr>
                <w:color w:val="0F172A"/>
                <w:sz w:val="19"/>
              </w:rPr>
              <w:t xml:space="preserve">  AI caption writer + hashtag generator</w:t>
            </w:r>
          </w:p>
          <w:p>
            <w:pPr>
              <w:spacing w:before="20" w:after="20"/>
              <w:ind w:left="200"/>
            </w:pPr>
            <w:r>
              <w:rPr>
                <w:color w:val="0F172A"/>
                <w:sz w:val="19"/>
              </w:rPr>
              <w:t xml:space="preserve">  Client CRM with full pipeline management</w:t>
            </w:r>
          </w:p>
          <w:p>
            <w:pPr>
              <w:spacing w:before="20" w:after="20"/>
              <w:ind w:left="200"/>
            </w:pPr>
            <w:r>
              <w:rPr>
                <w:color w:val="0F172A"/>
                <w:sz w:val="19"/>
              </w:rPr>
              <w:t xml:space="preserve">  Analytics dashboard + activity tracking</w:t>
            </w:r>
          </w:p>
          <w:p>
            <w:pPr>
              <w:spacing w:before="20" w:after="20"/>
              <w:ind w:left="200"/>
            </w:pPr>
            <w:r>
              <w:rPr>
                <w:color w:val="0F172A"/>
                <w:sz w:val="19"/>
              </w:rPr>
              <w:t xml:space="preserve">  Auto-responder for DMs and comments</w:t>
            </w:r>
          </w:p>
          <w:p>
            <w:pPr>
              <w:spacing w:before="20" w:after="20"/>
              <w:ind w:left="200"/>
            </w:pPr>
            <w:r>
              <w:rPr>
                <w:color w:val="0F172A"/>
                <w:sz w:val="19"/>
              </w:rPr>
              <w:t xml:space="preserve">  Team workspace with role management</w:t>
            </w:r>
          </w:p>
          <w:p>
            <w:pPr>
              <w:spacing w:before="20" w:after="20"/>
              <w:ind w:left="200"/>
            </w:pPr>
            <w:r>
              <w:rPr>
                <w:color w:val="0F172A"/>
                <w:sz w:val="19"/>
              </w:rPr>
              <w:t xml:space="preserve">  Paystack billing with multi-currency support</w:t>
            </w:r>
          </w:p>
          <w:p>
            <w:pPr>
              <w:spacing w:before="20" w:after="20"/>
              <w:ind w:left="200"/>
            </w:pPr>
            <w:r>
              <w:rPr>
                <w:color w:val="0F172A"/>
                <w:sz w:val="19"/>
              </w:rPr>
              <w:t xml:space="preserve">  Founding member waitlist — June 2026 launch</w:t>
            </w:r>
          </w:p>
          <w:p>
            <w:pPr>
              <w:spacing w:after="120"/>
            </w:pPr>
          </w:p>
        </w:tc>
      </w:tr>
    </w:tbl>
    <w:p>
      <w:pPr>
        <w:spacing w:after="40"/>
      </w:pPr>
    </w:p>
    <w:p>
      <w:pPr>
        <w:spacing w:before="120" w:after="40"/>
      </w:pPr>
      <w:r>
        <w:rPr>
          <w:b/>
          <w:color w:val="2563EB"/>
          <w:sz w:val="22"/>
        </w:rPr>
        <w:t>Plan Tiers</w:t>
      </w:r>
    </w:p>
    <w:p>
      <w:pPr>
        <w:spacing w:before="0" w:after="0"/>
        <w:pBdr>
          <w:bottom w:val="single" w:sz="6" w:space="1" w:color="2563EB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10"/>
        <w:gridCol w:w="2610"/>
        <w:gridCol w:w="2610"/>
        <w:gridCol w:w="2610"/>
      </w:tblGrid>
      <w:tr>
        <w:tc>
          <w:tcPr>
            <w:tcW w:type="dxa" w:w="2520"/>
            <w:shd w:val="clear" w:color="auto" w:fill="F8FAFC"/>
            <w:tcBorders>
              <w:top w:val="single" w:sz="6" w:space="0" w:color="E2E8F0"/>
            </w:tcBorders>
            <w:tcBorders>
              <w:bottom w:val="single" w:sz="6" w:space="0" w:color="E2E8F0"/>
            </w:tcBorders>
            <w:tcBorders>
              <w:left w:val="single" w:sz="6" w:space="0" w:color="E2E8F0"/>
            </w:tcBorders>
            <w:tcBorders>
              <w:right w:val="single" w:sz="6" w:space="0" w:color="E2E8F0"/>
            </w:tcBorders>
          </w:tcPr>
          <w:p>
            <w:pPr>
              <w:spacing w:before="120" w:after="40"/>
              <w:jc w:val="center"/>
            </w:pPr>
            <w:r>
              <w:rPr>
                <w:b/>
                <w:color w:val="64748B"/>
                <w:sz w:val="20"/>
              </w:rPr>
              <w:t>Free Trial</w:t>
            </w:r>
          </w:p>
          <w:p>
            <w:pPr>
              <w:spacing w:before="0" w:after="120"/>
              <w:jc w:val="center"/>
            </w:pPr>
            <w:r>
              <w:rPr>
                <w:b/>
                <w:color w:val="64748B"/>
                <w:sz w:val="17"/>
              </w:rPr>
              <w:t>7 days free</w:t>
            </w:r>
          </w:p>
        </w:tc>
        <w:tc>
          <w:tcPr>
            <w:tcW w:type="dxa" w:w="2520"/>
            <w:shd w:val="clear" w:color="auto" w:fill="EFF6FF"/>
            <w:tcBorders>
              <w:top w:val="single" w:sz="6" w:space="0" w:color="E2E8F0"/>
            </w:tcBorders>
            <w:tcBorders>
              <w:bottom w:val="single" w:sz="6" w:space="0" w:color="E2E8F0"/>
            </w:tcBorders>
            <w:tcBorders>
              <w:left w:val="single" w:sz="6" w:space="0" w:color="E2E8F0"/>
            </w:tcBorders>
            <w:tcBorders>
              <w:right w:val="single" w:sz="6" w:space="0" w:color="E2E8F0"/>
            </w:tcBorders>
          </w:tcPr>
          <w:p>
            <w:pPr>
              <w:spacing w:before="120" w:after="40"/>
              <w:jc w:val="center"/>
            </w:pPr>
            <w:r>
              <w:rPr>
                <w:b/>
                <w:color w:val="2563EB"/>
                <w:sz w:val="20"/>
              </w:rPr>
              <w:t>Starter</w:t>
            </w:r>
          </w:p>
          <w:p>
            <w:pPr>
              <w:spacing w:before="0" w:after="120"/>
              <w:jc w:val="center"/>
            </w:pPr>
            <w:r>
              <w:rPr>
                <w:b/>
                <w:color w:val="64748B"/>
                <w:sz w:val="17"/>
              </w:rPr>
              <w:t>From $9/mo</w:t>
            </w:r>
          </w:p>
        </w:tc>
        <w:tc>
          <w:tcPr>
            <w:tcW w:type="dxa" w:w="2520"/>
            <w:shd w:val="clear" w:color="auto" w:fill="F0FDF4"/>
            <w:tcBorders>
              <w:top w:val="single" w:sz="6" w:space="0" w:color="E2E8F0"/>
            </w:tcBorders>
            <w:tcBorders>
              <w:bottom w:val="single" w:sz="6" w:space="0" w:color="E2E8F0"/>
            </w:tcBorders>
            <w:tcBorders>
              <w:left w:val="single" w:sz="6" w:space="0" w:color="E2E8F0"/>
            </w:tcBorders>
            <w:tcBorders>
              <w:right w:val="single" w:sz="6" w:space="0" w:color="E2E8F0"/>
            </w:tcBorders>
          </w:tcPr>
          <w:p>
            <w:pPr>
              <w:spacing w:before="120" w:after="40"/>
              <w:jc w:val="center"/>
            </w:pPr>
            <w:r>
              <w:rPr>
                <w:b/>
                <w:color w:val="059669"/>
                <w:sz w:val="20"/>
              </w:rPr>
              <w:t>Growth</w:t>
            </w:r>
          </w:p>
          <w:p>
            <w:pPr>
              <w:spacing w:before="0" w:after="120"/>
              <w:jc w:val="center"/>
            </w:pPr>
            <w:r>
              <w:rPr>
                <w:b/>
                <w:color w:val="64748B"/>
                <w:sz w:val="17"/>
              </w:rPr>
              <w:t>From $22/mo</w:t>
            </w:r>
          </w:p>
        </w:tc>
        <w:tc>
          <w:tcPr>
            <w:tcW w:type="dxa" w:w="2520"/>
            <w:shd w:val="clear" w:color="auto" w:fill="FAF5FF"/>
            <w:tcBorders>
              <w:top w:val="single" w:sz="6" w:space="0" w:color="E2E8F0"/>
            </w:tcBorders>
            <w:tcBorders>
              <w:bottom w:val="single" w:sz="6" w:space="0" w:color="E2E8F0"/>
            </w:tcBorders>
            <w:tcBorders>
              <w:left w:val="single" w:sz="6" w:space="0" w:color="E2E8F0"/>
            </w:tcBorders>
            <w:tcBorders>
              <w:right w:val="single" w:sz="6" w:space="0" w:color="E2E8F0"/>
            </w:tcBorders>
          </w:tcPr>
          <w:p>
            <w:pPr>
              <w:spacing w:before="120" w:after="40"/>
              <w:jc w:val="center"/>
            </w:pPr>
            <w:r>
              <w:rPr>
                <w:b/>
                <w:color w:val="7C3AED"/>
                <w:sz w:val="20"/>
              </w:rPr>
              <w:t>Agency Pro</w:t>
            </w:r>
          </w:p>
          <w:p>
            <w:pPr>
              <w:spacing w:before="0" w:after="120"/>
              <w:jc w:val="center"/>
            </w:pPr>
            <w:r>
              <w:rPr>
                <w:b/>
                <w:color w:val="64748B"/>
                <w:sz w:val="17"/>
              </w:rPr>
              <w:t>From $52/mo</w:t>
            </w:r>
          </w:p>
        </w:tc>
      </w:tr>
      <w:tr>
        <w:tc>
          <w:tcPr>
            <w:tcW w:type="dxa" w:w="2520"/>
            <w:shd w:val="clear" w:color="auto" w:fill="FFFFFF"/>
            <w:tcBorders>
              <w:top w:val="single" w:sz="6" w:space="0" w:color="E2E8F0"/>
            </w:tcBorders>
            <w:tcBorders>
              <w:bottom w:val="single" w:sz="6" w:space="0" w:color="E2E8F0"/>
            </w:tcBorders>
            <w:tcBorders>
              <w:left w:val="single" w:sz="6" w:space="0" w:color="E2E8F0"/>
            </w:tcBorders>
            <w:tcBorders>
              <w:right w:val="single" w:sz="6" w:space="0" w:color="E2E8F0"/>
            </w:tcBorders>
          </w:tcPr>
          <w:p>
            <w:pPr>
              <w:spacing w:before="80" w:after="80"/>
              <w:jc w:val="center"/>
            </w:pPr>
            <w:r>
              <w:rPr>
                <w:color w:val="0F172A"/>
                <w:sz w:val="17"/>
              </w:rPr>
              <w:t>5 accounts · 50 posts</w:t>
              <w:br/>
              <w:t>1 workspace · FB + IG</w:t>
            </w:r>
          </w:p>
        </w:tc>
        <w:tc>
          <w:tcPr>
            <w:tcW w:type="dxa" w:w="2520"/>
            <w:shd w:val="clear" w:color="auto" w:fill="FFFFFF"/>
            <w:tcBorders>
              <w:top w:val="single" w:sz="6" w:space="0" w:color="E2E8F0"/>
            </w:tcBorders>
            <w:tcBorders>
              <w:bottom w:val="single" w:sz="6" w:space="0" w:color="E2E8F0"/>
            </w:tcBorders>
            <w:tcBorders>
              <w:left w:val="single" w:sz="6" w:space="0" w:color="E2E8F0"/>
            </w:tcBorders>
            <w:tcBorders>
              <w:right w:val="single" w:sz="6" w:space="0" w:color="E2E8F0"/>
            </w:tcBorders>
          </w:tcPr>
          <w:p>
            <w:pPr>
              <w:spacing w:before="80" w:after="80"/>
              <w:jc w:val="center"/>
            </w:pPr>
            <w:r>
              <w:rPr>
                <w:color w:val="0F172A"/>
                <w:sz w:val="17"/>
              </w:rPr>
              <w:t>10 accounts · 200 posts</w:t>
              <w:br/>
              <w:t>Basic CRM · AI captions</w:t>
            </w:r>
          </w:p>
        </w:tc>
        <w:tc>
          <w:tcPr>
            <w:tcW w:type="dxa" w:w="2520"/>
            <w:shd w:val="clear" w:color="auto" w:fill="FFFFFF"/>
            <w:tcBorders>
              <w:top w:val="single" w:sz="6" w:space="0" w:color="E2E8F0"/>
            </w:tcBorders>
            <w:tcBorders>
              <w:bottom w:val="single" w:sz="6" w:space="0" w:color="E2E8F0"/>
            </w:tcBorders>
            <w:tcBorders>
              <w:left w:val="single" w:sz="6" w:space="0" w:color="E2E8F0"/>
            </w:tcBorders>
            <w:tcBorders>
              <w:right w:val="single" w:sz="6" w:space="0" w:color="E2E8F0"/>
            </w:tcBorders>
          </w:tcPr>
          <w:p>
            <w:pPr>
              <w:spacing w:before="80" w:after="80"/>
              <w:jc w:val="center"/>
            </w:pPr>
            <w:r>
              <w:rPr>
                <w:color w:val="0F172A"/>
                <w:sz w:val="17"/>
              </w:rPr>
              <w:t>30 accounts · 2,000 posts</w:t>
              <w:br/>
              <w:t>5 members · Automation</w:t>
            </w:r>
          </w:p>
        </w:tc>
        <w:tc>
          <w:tcPr>
            <w:tcW w:type="dxa" w:w="2520"/>
            <w:shd w:val="clear" w:color="auto" w:fill="FFFFFF"/>
            <w:tcBorders>
              <w:top w:val="single" w:sz="6" w:space="0" w:color="E2E8F0"/>
            </w:tcBorders>
            <w:tcBorders>
              <w:bottom w:val="single" w:sz="6" w:space="0" w:color="E2E8F0"/>
            </w:tcBorders>
            <w:tcBorders>
              <w:left w:val="single" w:sz="6" w:space="0" w:color="E2E8F0"/>
            </w:tcBorders>
            <w:tcBorders>
              <w:right w:val="single" w:sz="6" w:space="0" w:color="E2E8F0"/>
            </w:tcBorders>
          </w:tcPr>
          <w:p>
            <w:pPr>
              <w:spacing w:before="80" w:after="80"/>
              <w:jc w:val="center"/>
            </w:pPr>
            <w:r>
              <w:rPr>
                <w:color w:val="0F172A"/>
                <w:sz w:val="17"/>
              </w:rPr>
              <w:t>100 accounts · Unlimited</w:t>
              <w:br/>
              <w:t>15 members · API access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16"/>
        <w:gridCol w:w="4824"/>
      </w:tblGrid>
      <w:tr>
        <w:tc>
          <w:tcPr>
            <w:tcW w:type="dxa" w:w="5040"/>
            <w:shd w:val="clear" w:color="auto" w:fill="FFFBEB"/>
            <w:tcBorders>
              <w:top w:val="single" w:sz="6" w:space="0" w:color="FDE68A"/>
            </w:tcBorders>
            <w:tcBorders>
              <w:bottom w:val="single" w:sz="6" w:space="0" w:color="FDE68A"/>
            </w:tcBorders>
            <w:tcBorders>
              <w:left w:val="single" w:sz="6" w:space="0" w:color="FDE68A"/>
            </w:tcBorders>
            <w:tcBorders>
              <w:right w:val="single" w:sz="6" w:space="0" w:color="FDE68A"/>
            </w:tcBorders>
          </w:tcPr>
          <w:p>
            <w:pPr>
              <w:spacing w:before="160" w:after="80"/>
            </w:pPr>
            <w:r>
              <w:rPr>
                <w:b/>
                <w:color w:val="D97706"/>
                <w:sz w:val="20"/>
              </w:rPr>
              <w:t>Roadmap — v1.2 (Post-Launch)</w:t>
            </w:r>
          </w:p>
          <w:p>
            <w:pPr>
              <w:spacing w:before="60" w:after="0"/>
              <w:ind w:left="160"/>
            </w:pPr>
            <w:r>
              <w:rPr>
                <w:b/>
                <w:color w:val="0F172A"/>
                <w:sz w:val="18"/>
              </w:rPr>
              <w:t>Client Approval Portal</w:t>
            </w:r>
          </w:p>
          <w:p>
            <w:pPr>
              <w:spacing w:before="0" w:after="40"/>
              <w:ind w:left="160"/>
            </w:pPr>
            <w:r>
              <w:rPr>
                <w:i/>
                <w:color w:val="64748B"/>
                <w:sz w:val="17"/>
              </w:rPr>
              <w:t>Draft to publish approval workflow with client-facing dashboard</w:t>
            </w:r>
          </w:p>
          <w:p>
            <w:pPr>
              <w:spacing w:before="60" w:after="0"/>
              <w:ind w:left="160"/>
            </w:pPr>
            <w:r>
              <w:rPr>
                <w:b/>
                <w:color w:val="0F172A"/>
                <w:sz w:val="18"/>
              </w:rPr>
              <w:t>White-Label Custom Domain</w:t>
            </w:r>
          </w:p>
          <w:p>
            <w:pPr>
              <w:spacing w:before="0" w:after="40"/>
              <w:ind w:left="160"/>
            </w:pPr>
            <w:r>
              <w:rPr>
                <w:i/>
                <w:color w:val="64748B"/>
                <w:sz w:val="17"/>
              </w:rPr>
              <w:t>Full branding — custom domain, logo, login page, email sender</w:t>
            </w:r>
          </w:p>
          <w:p>
            <w:pPr>
              <w:spacing w:before="60" w:after="0"/>
              <w:ind w:left="160"/>
            </w:pPr>
            <w:r>
              <w:rPr>
                <w:b/>
                <w:color w:val="0F172A"/>
                <w:sz w:val="18"/>
              </w:rPr>
              <w:t>Advanced Analytics &amp; PDF Reports</w:t>
            </w:r>
          </w:p>
          <w:p>
            <w:pPr>
              <w:spacing w:before="0" w:after="40"/>
              <w:ind w:left="160"/>
            </w:pPr>
            <w:r>
              <w:rPr>
                <w:i/>
                <w:color w:val="64748B"/>
                <w:sz w:val="17"/>
              </w:rPr>
              <w:t>Branded automated reports with AI insights layer</w:t>
            </w:r>
          </w:p>
          <w:p>
            <w:pPr>
              <w:spacing w:before="60" w:after="0"/>
              <w:ind w:left="160"/>
            </w:pPr>
            <w:r>
              <w:rPr>
                <w:b/>
                <w:color w:val="0F172A"/>
                <w:sz w:val="18"/>
              </w:rPr>
              <w:t>Enterprise RBAC</w:t>
            </w:r>
          </w:p>
          <w:p>
            <w:pPr>
              <w:spacing w:before="0" w:after="40"/>
              <w:ind w:left="160"/>
            </w:pPr>
            <w:r>
              <w:rPr>
                <w:i/>
                <w:color w:val="64748B"/>
                <w:sz w:val="17"/>
              </w:rPr>
              <w:t>7 roles including Client Reviewer, Freelancer, and custom roles</w:t>
            </w:r>
          </w:p>
          <w:p>
            <w:pPr>
              <w:spacing w:before="60" w:after="0"/>
              <w:ind w:left="160"/>
            </w:pPr>
            <w:r>
              <w:rPr>
                <w:b/>
                <w:color w:val="0F172A"/>
                <w:sz w:val="18"/>
              </w:rPr>
              <w:t>Asset Library</w:t>
            </w:r>
          </w:p>
          <w:p>
            <w:pPr>
              <w:spacing w:before="0" w:after="40"/>
              <w:ind w:left="160"/>
            </w:pPr>
            <w:r>
              <w:rPr>
                <w:i/>
                <w:color w:val="64748B"/>
                <w:sz w:val="17"/>
              </w:rPr>
              <w:t>Organised media folders, brand kits, reusable templates</w:t>
            </w:r>
          </w:p>
          <w:p>
            <w:pPr>
              <w:spacing w:before="60" w:after="0"/>
              <w:ind w:left="160"/>
            </w:pPr>
            <w:r>
              <w:rPr>
                <w:b/>
                <w:color w:val="0F172A"/>
                <w:sz w:val="18"/>
              </w:rPr>
              <w:t>Audit Logs</w:t>
            </w:r>
          </w:p>
          <w:p>
            <w:pPr>
              <w:spacing w:before="0" w:after="40"/>
              <w:ind w:left="160"/>
            </w:pPr>
            <w:r>
              <w:rPr>
                <w:i/>
                <w:color w:val="64748B"/>
                <w:sz w:val="17"/>
              </w:rPr>
              <w:t>Full activity trail — who posted what, when, and from where</w:t>
            </w:r>
          </w:p>
          <w:p>
            <w:pPr>
              <w:spacing w:after="120"/>
            </w:pPr>
          </w:p>
        </w:tc>
        <w:tc>
          <w:tcPr>
            <w:tcW w:type="dxa" w:w="5040"/>
            <w:shd w:val="clear" w:color="auto" w:fill="0F172A"/>
            <w:tcBorders>
              <w:top w:val="single" w:sz="6" w:space="0" w:color="1E293B"/>
            </w:tcBorders>
            <w:tcBorders>
              <w:bottom w:val="single" w:sz="6" w:space="0" w:color="1E293B"/>
            </w:tcBorders>
            <w:tcBorders>
              <w:left w:val="single" w:sz="6" w:space="0" w:color="1E293B"/>
            </w:tcBorders>
            <w:tcBorders>
              <w:right w:val="single" w:sz="6" w:space="0" w:color="1E293B"/>
            </w:tcBorders>
          </w:tcPr>
          <w:p>
            <w:pPr>
              <w:spacing w:before="160" w:after="80"/>
            </w:pPr>
            <w:r>
              <w:rPr>
                <w:b/>
                <w:color w:val="FFFFFF"/>
                <w:sz w:val="20"/>
              </w:rPr>
              <w:t>Partnership Opportunity</w:t>
            </w:r>
          </w:p>
          <w:p>
            <w:pPr>
              <w:spacing w:before="80" w:after="40"/>
            </w:pPr>
            <w:r>
              <w:rPr>
                <w:b/>
                <w:color w:val="93C5FD"/>
                <w:sz w:val="18"/>
              </w:rPr>
              <w:t>Referral Arrangement</w:t>
            </w:r>
          </w:p>
          <w:p>
            <w:pPr>
              <w:spacing w:before="20" w:after="20"/>
              <w:ind w:left="160"/>
            </w:pPr>
            <w:r>
              <w:rPr>
                <w:color w:val="CBD5E1"/>
                <w:sz w:val="17"/>
              </w:rPr>
              <w:t xml:space="preserve">  Any client referred by Briskstar gets 3 months free on the Growth plan</w:t>
            </w:r>
          </w:p>
          <w:p>
            <w:pPr>
              <w:spacing w:before="20" w:after="20"/>
              <w:ind w:left="160"/>
            </w:pPr>
            <w:r>
              <w:rPr>
                <w:color w:val="CBD5E1"/>
                <w:sz w:val="17"/>
              </w:rPr>
              <w:t xml:space="preserve">  Personalised onboarding handled directly by the founder</w:t>
            </w:r>
          </w:p>
          <w:p>
            <w:pPr>
              <w:spacing w:before="20" w:after="20"/>
              <w:ind w:left="160"/>
            </w:pPr>
            <w:r>
              <w:rPr>
                <w:color w:val="CBD5E1"/>
                <w:sz w:val="17"/>
              </w:rPr>
              <w:t xml:space="preserve">  Ideal for agencies, marketing teams, and SMEs in your client base</w:t>
            </w:r>
          </w:p>
          <w:p>
            <w:pPr>
              <w:spacing w:before="20" w:after="20"/>
              <w:ind w:left="160"/>
            </w:pPr>
            <w:r>
              <w:rPr>
                <w:color w:val="CBD5E1"/>
                <w:sz w:val="17"/>
              </w:rPr>
              <w:t xml:space="preserve">  No lock-in — clients can upgrade, downgrade or leave at any time</w:t>
            </w:r>
          </w:p>
          <w:p>
            <w:pPr>
              <w:spacing w:before="160" w:after="40"/>
            </w:pPr>
            <w:r>
              <w:rPr>
                <w:b/>
                <w:color w:val="93C5FD"/>
                <w:sz w:val="18"/>
              </w:rPr>
              <w:t>Execution Support</w:t>
            </w:r>
          </w:p>
          <w:p>
            <w:pPr>
              <w:spacing w:before="20" w:after="20"/>
              <w:ind w:left="160"/>
            </w:pPr>
            <w:r>
              <w:rPr>
                <w:color w:val="CBD5E1"/>
                <w:sz w:val="17"/>
              </w:rPr>
              <w:t xml:space="preserve">  Client approval portal &amp; white-label infrastructure are the priority build areas</w:t>
            </w:r>
          </w:p>
          <w:p>
            <w:pPr>
              <w:spacing w:before="20" w:after="20"/>
              <w:ind w:left="160"/>
            </w:pPr>
            <w:r>
              <w:rPr>
                <w:color w:val="CBD5E1"/>
                <w:sz w:val="17"/>
              </w:rPr>
              <w:t xml:space="preserve">  Open to discussing scoped engagements or advisory arrangements</w:t>
            </w:r>
          </w:p>
          <w:p>
            <w:pPr>
              <w:spacing w:before="20" w:after="20"/>
              <w:ind w:left="160"/>
            </w:pPr>
            <w:r>
              <w:rPr>
                <w:color w:val="CBD5E1"/>
                <w:sz w:val="17"/>
              </w:rPr>
              <w:t xml:space="preserve">  Prefer partners who understand agency workflow over generic dev shops</w:t>
            </w:r>
          </w:p>
          <w:p>
            <w:pPr>
              <w:spacing w:after="12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0"/>
        <w:gridCol w:w="3480"/>
        <w:gridCol w:w="3480"/>
      </w:tblGrid>
      <w:tr>
        <w:tc>
          <w:tcPr>
            <w:tcW w:type="dxa" w:w="3360"/>
            <w:shd w:val="clear" w:color="auto" w:fill="1E3A5F"/>
          </w:tcPr>
          <w:p>
            <w:pPr>
              <w:spacing w:before="120" w:after="40"/>
              <w:jc w:val="center"/>
            </w:pPr>
            <w:r>
              <w:rPr>
                <w:b/>
                <w:color w:val="7DD3FC"/>
                <w:sz w:val="18"/>
              </w:rPr>
              <w:t>Launch</w:t>
            </w:r>
          </w:p>
          <w:p>
            <w:pPr>
              <w:spacing w:before="0" w:after="120"/>
              <w:jc w:val="center"/>
            </w:pPr>
            <w:r>
              <w:rPr>
                <w:color w:val="FFFFFF"/>
                <w:sz w:val="17"/>
              </w:rPr>
              <w:t>June 2026 — Founding Member Campaign Active</w:t>
            </w:r>
          </w:p>
        </w:tc>
        <w:tc>
          <w:tcPr>
            <w:tcW w:type="dxa" w:w="3360"/>
            <w:shd w:val="clear" w:color="auto" w:fill="0C4A6E"/>
          </w:tcPr>
          <w:p>
            <w:pPr>
              <w:spacing w:before="120" w:after="40"/>
              <w:jc w:val="center"/>
            </w:pPr>
            <w:r>
              <w:rPr>
                <w:b/>
                <w:color w:val="7DD3FC"/>
                <w:sz w:val="18"/>
              </w:rPr>
              <w:t>Try it</w:t>
            </w:r>
          </w:p>
          <w:p>
            <w:pPr>
              <w:spacing w:before="0" w:after="120"/>
              <w:jc w:val="center"/>
            </w:pPr>
            <w:r>
              <w:rPr>
                <w:color w:val="FFFFFF"/>
                <w:sz w:val="17"/>
              </w:rPr>
              <w:t>app.eworksocial.com — free 7-day trial</w:t>
            </w:r>
          </w:p>
        </w:tc>
        <w:tc>
          <w:tcPr>
            <w:tcW w:type="dxa" w:w="3360"/>
            <w:shd w:val="clear" w:color="auto" w:fill="172554"/>
          </w:tcPr>
          <w:p>
            <w:pPr>
              <w:spacing w:before="120" w:after="40"/>
              <w:jc w:val="center"/>
            </w:pPr>
            <w:r>
              <w:rPr>
                <w:b/>
                <w:color w:val="7DD3FC"/>
                <w:sz w:val="18"/>
              </w:rPr>
              <w:t>Talk to us</w:t>
            </w:r>
          </w:p>
          <w:p>
            <w:pPr>
              <w:spacing w:before="0" w:after="120"/>
              <w:jc w:val="center"/>
            </w:pPr>
            <w:r>
              <w:rPr>
                <w:color w:val="FFFFFF"/>
                <w:sz w:val="17"/>
              </w:rPr>
              <w:t>aiservices.agent@gmail.com</w:t>
            </w:r>
          </w:p>
        </w:tc>
      </w:tr>
    </w:tbl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