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CONTRATO DE EJECUCIÓN DE OBRA</w:t>
      </w:r>
    </w:p>
    <w:p>
      <w:r>
        <w:t>Objeto. El contratista ejecutará las obras de urbanización descritas en el proyecto de referencia.</w:t>
      </w:r>
    </w:p>
    <w:p>
      <w:r>
        <w:t>Precio. El precio del contrato asciende a 1.000.000 euros.</w:t>
      </w:r>
    </w:p>
    <w:p>
      <w:r>
        <w:t>Plazo. La fecha de finalización de las obras será el 30 de junio de 2027.</w:t>
      </w:r>
    </w:p>
    <w:p>
      <w:r>
        <w:t>Penalizaciones. El retraso en la entrega se penalizará con un 0,1% diario del precio del contrato.</w:t>
      </w:r>
    </w:p>
    <w:p>
      <w:r>
        <w:t>Garantía. El contratista otorgará una garantía de buena ejecución de 24 meses desde la recepción.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c2pro-fixture</dc:creator>
  <cp:keywords/>
  <dc:description>generated by python-docx</dc:description>
  <cp:lastModifiedBy/>
  <cp:revision>1</cp:revision>
  <dcterms:created xsi:type="dcterms:W3CDTF">2026-10-25T00:00:00Z</dcterms:created>
  <dcterms:modified xsi:type="dcterms:W3CDTF">2026-10-25T00:00:00Z</dcterms:modified>
  <cp:category/>
</cp:coreProperties>
</file>