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PLIEGO DE PRESCRIPCIONES TÉCNICAS</w:t>
      </w:r>
    </w:p>
    <w:p>
      <w:r>
        <w:t>Section 4.1.2 Concrete compressive strength shall exceed 35 MPa at 28 days.</w:t>
      </w:r>
    </w:p>
    <w:p>
      <w:r>
        <w:t>Section 4.2 Reinforcement steel shall be B500S.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c2pro-fixture</dc:creator>
  <cp:keywords/>
  <dc:description>generated by python-docx</dc:description>
  <cp:lastModifiedBy/>
  <cp:revision>1</cp:revision>
  <dcterms:created xsi:type="dcterms:W3CDTF">2026-10-25T00:00:00Z</dcterms:created>
  <dcterms:modified xsi:type="dcterms:W3CDTF">2026-10-25T00:00:00Z</dcterms:modified>
  <cp:category/>
</cp:coreProperties>
</file>