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6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aps/>
          <w:color w:val="888888"/>
          <w:sz w:val="28"/>
          <w:szCs w:val="28"/>
        </w:rPr>
        <w:t xml:space="preserve">BUSINESS REQUIREMENTS DOCUMENT</w:t>
      </w:r>
    </w:p>
    <w:p>
      <w:pPr>
        <w:spacing w:before="0" w:after="120"/>
      </w:pPr>
      <w:r>
        <w:t xml:space="preserve"/>
      </w:r>
    </w:p>
    <w:p>
      <w:pPr>
        <w:pBdr>
          <w:bottom w:val="single" w:color="2E75B6" w:sz="12" w:space="8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Clinical Data Hub</w:t>
      </w:r>
    </w:p>
    <w:p>
      <w:pPr>
        <w:spacing w:before="0" w:after="12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Next-Generation Electronic Data Capture (EDC) Platform</w:t>
      </w:r>
    </w:p>
    <w:p>
      <w:pPr>
        <w:spacing w:before="0" w:after="24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Requirements Document (BRD)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 | Life Sciences &amp; Clinical Research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Under Review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Prepared for: Hackathon — Vibe Coding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Clinical Data Hub is a next-generation Electronic Data Capture (EDC) platform designed to digitize and streamline clinical trial data collection, management, and regulatory compliance for mid-size pharmaceutical companies, biotech organizations, and Contract Research Organizations (CROs).</w:t>
      </w:r>
    </w:p>
    <w:p>
      <w:pPr>
        <w:spacing w:before="0" w:after="6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global clinical trial management market continues to expand, with increasing demand for faster, more accurate, and cost-effective data collection solutions capable of handling complex multi-site studies while ensuring strict regulatory compliance. Current enterprise solutions such as Medidata (Veeva) and Oracle Clinical One are prohibitively expensive for mid-market clients, while open-source tools like REDCap lack critical commercial and compliance capabilities.</w:t>
      </w:r>
    </w:p>
    <w:p>
      <w:pPr>
        <w:spacing w:before="0" w:after="6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BRD defines the complete business, functional, and non-functional requirements for the Clinical Data Hub platform, structured across four phased delivery cycles to ensure iterative value delivery, de-risked development, and stakeholder alignment.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Area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Fragmented 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Clinical trial data is collected across multiple sites using paper or disconnected tools, leading to errors, delays, and audit failures.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Regulatory Burden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Meeting 21 CFR Part 11, GCP, and CDISC compliance manually is time-consuming and error-prone.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Cost of Entry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Enterprise EDC platforms are priced beyond the reach of mid-size sponsors and smaller CROs.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Poor User Experience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Existing platforms have steep learning curves, reducing adoption among clinical staff.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AI/ML Insights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tools provide no predictive capabilities for dropout risk, enrollment forecasting, or data anomaly detection.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Business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Deliver a compliant, intuitive EDC platform targeting mid-size biotech companies and CROs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Achieve product-market fit within 12 months through 2–3 pilot customers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Establish a scalable SaaS revenue model with per-subject and subscription pricing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Differentiate from incumbents via AI-powered data quality, modern UX, and competitive pricing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 roadmap to advanced features (AI/ML, wearables, blockchain) that incumbents cannot easily replicate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Scope</w:t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In Scope: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End-to-end EDC functionality from study design to data export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Regulatory compliance (21 CFR Part 11, GCP, CDISC SDTM/ADaM)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Multi-site study management with role-based access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AI-powered analytics and data quality features (later phases)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Third-party integrations (MedDRA, WHO Drug, REDCap API)</w:t>
      </w:r>
    </w:p>
    <w:p>
      <w:pPr>
        <w:spacing w:before="0" w:after="6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Out of Scope (Initial Release):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Multi-language support (planned for Phase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Blockchain data integrity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Wearable/IoT device direct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VR/AR patient onboarding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Stakeholders &amp; User Personas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Key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Interest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 prioritization and roadmap delivery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Clinical Investigator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 User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Fast, reliable patient data entry at site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 User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quality, query resolution, export accuracy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Study Monitor (CRA)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 User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Remote monitoring, SDV, audit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Sponsor / Biotech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Study oversight, compliance, cost control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Regulatory Authority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External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 CFR Part 11, ICH E6 GCP compliance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 / System Admin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Infrastructure, security, integrations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 Partners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Partner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White-label deployment, migration support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Primary User Personas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Persona 1 — Clinical Research Coordinator (CRC)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entry at research sites for enrolled patients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Needs intuitive eCRF forms with clear validation 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Frequently works across multiple studies simultaneously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Frustrated by slow, clunky legacy systems and excessive clicks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Persona 2 — Data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Central oversight of data completeness and quality across 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Manages queries and resolves discrepancies with site staff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Needs dashboard visibility into enrollment and data completion rates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Requires clean export outputs in SAS/CDISC formats for submission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Persona 3 — Sponsor / Biotech Project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Needs real-time visibility into study progress and milestones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Cost-sensitive — looking for predictable, scalable pricing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Requires audit-ready compliance documentation at any 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Values fast study setup and go-live with minimal IT burden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Phased Delivery Plan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platform is structured across four phases, progressing from core compliance-grade EDC functionality to advanced AI-powered capabilities. Each phase builds upon the previous, enabling pilot deployments and commercial validation at each milestone.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MVP — Core EDC Platform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Duration: Months 1–6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Goal: Deliver a fully functional, regulatory-compliant EDC system capable of supporting simple Phase II studies. Target 2–3 pilot customers for validation.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1 —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360"/>
        <w:gridCol w:w="1200"/>
        <w:gridCol w:w="12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Study Design Builder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 drag-and-drop interface to create CRFs and define study protocols without coding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Electronic Case Report Forms (eCRFs)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Dynamic, responsive forms for data entry with real-time validation and conditional 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Role Management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Granular permission system for investigators, coordinators, monitors, and sponsors with full audit trails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Validation Engine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and batch validation rules with customizable error messages and warnings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 Management 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Automated generation and tracking of data queries with resolution workflows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Electronic Signatures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 CFR Part 11 compliant e-signatures for data lock and approval workflows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Comprehensive tamper-proof logging of all user actions, data changes, and system 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Multi-Site Management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Centralized dashboard to manage multiple research sites with site-specific configurations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Export &amp; Import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Support for SAS, SPSS, CSV, XML, and CDISC SDTM/ADaM formats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monitoring of enrollment, data completion, and study milestones with customizable widgets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Configurable alerts for queries, milestones, missing data, and system 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Backup &amp; Recovery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Automated backups with point-in-time recovery and disaster recovery procedures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1 — 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successfully captures and stores patient data with &lt;1% validation error 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Audit trail logs 100% of user actions with tamper-proof timestamps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Electronic signature module passes 21 CFR Part 11 compliance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export produces valid CDISC SDTM-compliant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Role-based access control prevents unauthorized data access across 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uptime meets 99.5% SLA during pilot period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Operational Enhancements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Duration: Months 7–12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Goal: Add operational capabilities to support more complex studies and improve clinical site productivity. Expand from pilot to early commercial customers.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2 —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360"/>
        <w:gridCol w:w="1200"/>
        <w:gridCol w:w="12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Subject Randomization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Built-in randomization engine with stratification, blocking, and blinding capabilities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 Data Entry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Responsive web interface and native mobile apps for field data collection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Must-Have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Management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Version-controlled storage for study documents, protocols, and regulatory 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Calendar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Scheduling system for patient visits, assessments, and follow-ups with automated reminders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Coding Dictionary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Integration with MedDRA and WHO Drug dictionaries for adverse events and medications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Reporting Engine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Drag-and-drop report builder with scheduled generation and distribution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RESTful APIs for third-party integrations with authentication and rate limiting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Monitoring Committees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Specialized interface for independent data monitoring with blinded/unblinded views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Offline Capability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 data storage and sync when internet connectivity is unavailable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Digital Consent Platform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Interactive multimedia consent process with comprehension testing and e-signatures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Automated SDV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AI-powered comparison of EDC data against source documents with confidence scoring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2 — 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Randomization engine supports at minimum 4 stratification variables with full blinding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 app functions on iOS and Android with offline sync resolving within 60 seconds of reconnect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MedDRA coding achieves &gt;90% auto-match rate on adverse event narratives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Gateway supports OAuth 2.0 authentication and enforces 1,000 req/min rate limit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Digital consent e-signature is legally binding and compliant with FDA 21 CFR Part 11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DA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AI-Powered Intelligence Layer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Duration: Months 13–18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Goal: Introduce machine learning and AI capabilities to differentiate from incumbent platforms and command premium pricing. Target enterprise biotech accounts.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3 —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4360"/>
        <w:gridCol w:w="1200"/>
        <w:gridCol w:w="9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AI-Powered Data Quality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 algorithms to detect anomalous data patterns, predict missing data, and suggest corrections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Innovative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Natural Language Processing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 free-text adverse event narratives into structured, coded data automatically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Innovative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Predictive Analytics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 models to predict patient dropout, enrollment rates, and study timeline risks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Innovative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Statistical Analysis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Integrated statistical computing engine for interim analysis and adaptive trial designs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Automated Regulatory Reporting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AI-generated safety reports (ICSRs, DSURs) with regulatory submission workflows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Multi-language Support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Internationalization framework supporting multiple languages for global studies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Chatbot (Patient Support)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24/7 patient support and data collection through conversational AI interfaces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Innovative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3 — 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 data quality module flags &gt;85% of data anomalies with &lt;10% false positive 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NLP adverse event coding achieves &gt;88% accuracy vs manual coding benchmark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Dropout prediction model achieves AUC-ROC &gt;0.78 on validation dataset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Regulatory report generation reduces manual ICSR drafting time by &gt;60%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Multi-language support covers English, Spanish, French, German, and Mandarin at minimum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Ecosystem &amp; Frontier Features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Duration: Months 19–24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Goal: Build a platform ecosystem with advanced integrations, blockchain integrity, and emerging modalities to establish long-term competitive moats and enterprise stickiness.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4 —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4360"/>
        <w:gridCol w:w="1200"/>
        <w:gridCol w:w="9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Wearable Device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 integration with IoT/wearable devices for continuous patient 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Innovative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Blockchain Data Integrity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Immutable ledger for critical data changes ensuring ultimate tamper-proof audit trails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Innovative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Federated Learning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Multi-site ML model training without centralized data sharing for privacy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Innovative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Digital Biomarker Platform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Collection and analysis of smartphone sensor data as clinical endpoints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Innovative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Integration Marketplace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Curated library of third-party integrations with revenue-sharing for ISV partners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White-label Licensing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Multi-tenant white-label deployment for CRO partners with custom branding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Automated Patient Matching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AI-powered identification of eligible participants from integrated EHR systems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Innovative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Digital Twin Simulation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simulation of patient cohorts for protocol optimization prior to study initiation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Innovative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/ Standard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load time for eCRF data entry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&lt;2 seconds at P95 under normal 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 uptime SLA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99.9% uptime (excluding planned maintenance)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encryption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AES-256 at rest; TLS 1.3 in transit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Electronic signature standard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 CFR Part 11 fully compliant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standards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CDISC SDTM and ADaM compliant exports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Concurrent users per study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Support up to 500 concurrent users per study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 trail completeness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of user actions logged, tamper-proof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Disaster Recovery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Recovery Point Objective (RPO)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RPO &lt; 1 hour; RTO &lt; 4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Usability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Study setup time (new study)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4 hours for standard Phase II protocol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supported browsers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Chrome, Firefox, Safari, Edge — latest 2 versions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Recommended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React.js, TypeScript, Material-UI, Redux Toolkit, React Query, D3.js, WebRTC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Node.js, Python (FastAPI), Java (Spring Boot), GraphQL, Apache Kafka, Redis, Elasticsearch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PostgreSQL, MongoDB, TimescaleDB, Amazon Aurora, Neo4j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 / Azure / GCP, Docker, Kubernetes, Terraform, CloudFormation, NGINX, CloudFlare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Third-Party APIs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Twilio, SendGrid, Stripe, Auth0, AWS Cognito, MedDRA API, FDA Orange Book API, REDCap API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Core Data Model Overview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following key entities form the core data architecture of the Clinical Data Hub platform: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Top-level container for a clinical trial protocol with configuration and metadata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Individual research sites participating in a multi-site study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Subjects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Enrolled patients / trial participants with consent and randomization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platform users with roles, permissions, and site associations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CRFs / Form_Fields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Case Report Form templates and their constituent field definitions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Data_Points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Actual captured data values associated with subjects, visits, and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discrepancy flags with resolution workflow and timestamp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Audit_Logs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Immutable record of every create/update/delete action on the 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Adverse_Events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Adverse event records with MedDRA coding and causality assessment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Randomization_Lists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Pre-generated randomization sequences with blinding configuration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Signatures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Electronic signature records with 21 CFR Part 11 compliance metadata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Version-controlled study document repository with access control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Monetization Strategy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Revenue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Segment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Per-Subject Pricing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$50–$500 per subject depending on study complexity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Pilot customers, small biotechs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Subscription Tiers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Monthly/annual plans based on concurrent studies and users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Mid-market sponsors and CROs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Enterprise Licensing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Annual contracts with dedicated infrastructure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Large pharmaceutical companies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Professional Services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Study setup, migration, and training services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segments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Add-On Modules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Premium pricing for AI data quality, predictive analytics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 and enterprise segments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White-Label Licensing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 licensing to CROs with custom branding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 partners (Phase 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Integration Marketplace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 sharing with ISV integration partners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 ecosystem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Key Performance Indicators (KPIs)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Business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Monthly Recurring Revenue (MRR) — tracked monthly from Phase 1 pilot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 Acquisition Cost (CAC) vs Customer Lifetime Value (LTV) ratio — target LTV:CAC &gt; 3:1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Churn rate by customer segment — target &lt;5% annual churn for commercial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Number of active studies on platform — Phase 1 target: 5 active studies by month 6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Product &amp; Operational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Study go-live time — target &lt;4 hours for standard Phase II protocol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entry completion rate — target &gt;95% form completion within protocol windows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Query resolution time — target &lt;48 hours median resolution from query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uptime — 99.9% SLA enforced from Phase 1 general availability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 adoption rate — % of customers using each Phase feature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Regulatory audit pass rate — 100% target for all customer compliance audits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Go-to-Market Strategy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Target Segments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Primary: Mid-size biotech companies conducting Phase I–III studies with 1–10 concurrent trials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Secondary: Small and mid-size CROs seeking a modern platform for client studies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Tertiary: Academic medical centers transitioning from REDCap to commercial EDC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Positioning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Clinical Data Hub positions as the modern, mid-market EDC platform that delivers enterprise-grade compliance at a fraction of the cost, with AI capabilities that legacy vendors cannot match.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Channel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Industry conferences: DIA Annual Meeting, SCDM, ACRP for direct customer acquisition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Regulatory consultant and CRO partnerships for referral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Content marketing targeting clinical data managers and study coordinators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Competitive migration program: free setup and data migration from legacy EDC systems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Regulatory non-compliance in 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— customer audit failure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Engage regulatory consultant from Day 1 for 21 CFR Part 11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breach / security incident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 — customer trust loss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Penetration testing pre-launch, SOC 2 Type II certification roadmap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Slow customer acquisition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— revenue delay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Pre-sign 2+ LOIs before Phase 1 completion; offer free pilot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model accuracy below threshold (Phase 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 — feature credibility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fallback manual workflows; set accuracy SLAs contractually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developer attrition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 — delivery delay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architecture thoroughly; cross-train team on all modules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Competitor price matching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 — margin pressure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Differentiate on AI features and UX; contractual long-term pricing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Appendix — API Endpoint Reference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following API endpoint groups are planned for Phase 1 and Phase 2 delivery: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Login, logout, token refresh, 2FA, session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/users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Create, read, update, deactivate users; role assignment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/studies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Study CRUD, configuration, status management, cloning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/sites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Site registration, configuration, user assignment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/subjects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Subject enrollment, consent, visit scheduling, withdrawal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/forms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CRF template management, field configuration, versioning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point submission, retrieval, update with full audit trail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/queries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 generation, assignment, resolution, closure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/audit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 trail retrieval with filtering by user, time, entity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/export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Bulk data export in SAS, CSV, CDISC SDTM/ADaM formats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/randomization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Randomization list management, subject allocation, unblinding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/reports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 template management, generation, scheduling, distribution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Alert configuration, delivery history, subscription management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top w:val="single" w:color="2E75B6" w:sz="6" w:space="8"/>
        </w:pBdr>
        <w:spacing w:before="24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BRD was generated as part of a Vibe Coding Hackathon submission.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All requirements, phases, and specifications are subject to review and stakeholder sign-off.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2"/>
      </w:pBdr>
    </w:pPr>
    <w:r>
      <w:t xml:space="preserve"/>
    </w: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rFonts w:ascii="Arial" w:cs="Arial" w:eastAsia="Arial" w:hAnsi="Arial"/>
              <w:i/>
              <w:iCs/>
              <w:color w:val="888888"/>
              <w:sz w:val="16"/>
              <w:szCs w:val="16"/>
            </w:rPr>
            <w:t xml:space="preserve">Confidential — For Internal Use Only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Page </w:t>
          </w:r>
          <w:fldSimple w:instr="PAGE"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358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F4E79"/>
              <w:sz w:val="18"/>
              <w:szCs w:val="18"/>
            </w:rPr>
            <w:t xml:space="preserve">Clinical Data Hub — EDC Platform</w:t>
          </w:r>
        </w:p>
      </w:tc>
      <w:tc>
        <w:tcPr>
          <w:tcW w:type="dxa" w:w="35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888888"/>
              <w:sz w:val="18"/>
              <w:szCs w:val="18"/>
            </w:rPr>
            <w:t xml:space="preserve">Business Requirements Document</w:t>
          </w:r>
        </w:p>
      </w:tc>
    </w:tr>
  </w:tbl>
  <w:p>
    <w:pPr>
      <w:pBdr>
        <w:bottom w:val="single" w:color="2E75B6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2026-03-14T04:24:59.638Z</dcterms:created>
  <dcterms:modified xsi:type="dcterms:W3CDTF">2026-03-14T04:24:59.639Z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