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0"/>
          <w:szCs w:val="30"/>
        </w:rPr>
        <w:t xml:space="preserve">ATIVIDADE 2: ARQUITETURA DE SOFTWARE + KATAS</w:t>
      </w:r>
    </w:p>
    <w:p>
      <w:pPr>
        <w:spacing w:after="100"/>
        <w:jc w:val="center"/>
      </w:pPr>
      <w:r>
        <w:rPr>
          <w:b/>
          <w:bCs/>
          <w:color w:val="2E4057"/>
          <w:sz w:val="24"/>
          <w:szCs w:val="24"/>
        </w:rPr>
        <w:t xml:space="preserve">Kata escolhido: Design a URL Shortening Service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Fonte: architecturalkatas.com</w:t>
      </w:r>
    </w:p>
    <w:p>
      <w:pPr>
        <w:pStyle w:val="Heading1"/>
        <w:spacing w:after="150" w:before="300"/>
      </w:pPr>
      <w:r>
        <w:t xml:space="preserve">Diagrama de Arquitetura em Camadas</w:t>
      </w:r>
    </w:p>
    <w:p>
      <w:pPr>
        <w:spacing w:after="300" w:before="120"/>
        <w:jc w:val="center"/>
      </w:pPr>
      <w:r>
        <w:drawing>
          <wp:inline distT="0" distB="0" distL="0" distR="0">
            <wp:extent cx="409575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Justificativa</w:t>
      </w:r>
    </w:p>
    <w:p>
      <w:pPr>
        <w:spacing w:after="160"/>
        <w:jc w:val="both"/>
      </w:pPr>
      <w:r>
        <w:t xml:space="preserve">A arquitetura em camadas foi escolhida porque separa claramente as responsabilidades do sistema, o que atende bem aos requisitos do Kata. A camada de Apresentacao concentra o recebimento de requisicoes de encurtamento e redirecionamento de URLs; a camada de Aplicacao orquestra os casos de uso, incluindo o controle de limite de requisicoes (rate limiting), essencial para um servico com alto volume de acessos; a camada de Dominio concentra a regra central do problema, a geracao de codigos curtos unicos e a validade dos links, mantendo essa logica independente de banco de dados ou framework; a camada de Dados isola o acesso ao repositorio por tras de uma interface, permitindo trocar a tecnologia de armazenamento sem impactar as regras de negocio; e a camada de Infra resolve os requisitos nao funcionais de escala e performance, com um banco chave-valor de leitura rapida, cache distribuido e um load balancer com CDN para lidar com o alto numero de redirecionamentos simultaneos, que e a operacao mais frequente nesse tipo de servico.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ce393f0ca728f75908687e4e92367ef31fa52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2026-08-30T23:52:27.907Z</dcterms:created>
  <dcterms:modified xsi:type="dcterms:W3CDTF">2026-08-30T23:52:27.907Z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