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00B1" w14:textId="77777777" w:rsidR="00BE5F29" w:rsidRDefault="00000000">
      <w:pPr>
        <w:pStyle w:val="Heading1"/>
      </w:pPr>
      <w:r>
        <w:t>GMP v2 API Architecture — Requirement Walkthroughs</w:t>
      </w:r>
    </w:p>
    <w:p w14:paraId="58E77D70" w14:textId="77777777" w:rsidR="00BE5F29" w:rsidRDefault="00000000">
      <w:pPr>
        <w:spacing w:after="240"/>
      </w:pPr>
      <w:r>
        <w:rPr>
          <w:i/>
          <w:iCs/>
          <w:color w:val="595959"/>
        </w:rPr>
        <w:t>How each requirement statement maps to the Genesis Mission Platform v2 contract surface, step by step.</w:t>
      </w:r>
    </w:p>
    <w:p w14:paraId="43C4042F" w14:textId="77777777" w:rsidR="00BE5F29" w:rsidRDefault="00000000">
      <w:pPr>
        <w:spacing w:after="120" w:line="300" w:lineRule="auto"/>
      </w:pPr>
      <w:r>
        <w:t>Below are step-by-step walkthroughs of how the GMP v2 API architecture supports each of the requirement statements. Each walkthrough follows the canonical v2 lifecycle (mint capability token → plan/negotiate → execute with checkpoints → use memory + budgets → coordinate → propose/approve → supervise/observe) and calls out which of the nine service domains carries the load at each step.</w:t>
      </w:r>
    </w:p>
    <w:p w14:paraId="51E15863" w14:textId="77777777" w:rsidR="00BE5F29" w:rsidRDefault="00000000">
      <w:pPr>
        <w:pStyle w:val="Heading2"/>
      </w:pPr>
      <w:r>
        <w:t>1. Sharing subsets of large datasets across N users at M locations</w:t>
      </w:r>
    </w:p>
    <w:p w14:paraId="4D08BB96" w14:textId="77777777" w:rsidR="00BE5F29" w:rsidRDefault="00000000">
      <w:pPr>
        <w:pBdr>
          <w:left w:val="single" w:sz="18" w:space="8" w:color="2E75B6"/>
        </w:pBdr>
        <w:spacing w:before="80" w:after="200" w:line="300" w:lineRule="auto"/>
        <w:ind w:left="360"/>
      </w:pPr>
      <w:r>
        <w:rPr>
          <w:i/>
          <w:iCs/>
        </w:rPr>
        <w:t>“Projects that use the platform need to be able to have N users spread across M locations share subsets of large datasets…”</w:t>
      </w:r>
    </w:p>
    <w:p w14:paraId="6311395D" w14:textId="77777777" w:rsidR="00BE5F29" w:rsidRDefault="00000000">
      <w:pPr>
        <w:pStyle w:val="Heading3"/>
      </w:pPr>
      <w:r>
        <w:t>How the architecture supports it</w:t>
      </w:r>
    </w:p>
    <w:p w14:paraId="26D296C1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Entry &amp; authentication</w:t>
      </w:r>
      <w:r>
        <w:t xml:space="preserve"> — Every user, at every site, hits the same versioned REST API gateway with a bearer JWT. There is one contract surface, regardless of whether the user is a person, an application, or an AI orchestrator.</w:t>
      </w:r>
    </w:p>
    <w:p w14:paraId="77EE2827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Identity &amp; Trust mints a scoped capability token</w:t>
      </w:r>
      <w:r>
        <w:t xml:space="preserve"> — The token encodes the project, the user’s role, the user’s location, and the specific dataset subset(s) they are entitled to read or write. Cross-site sharing is expressed by issuing tokens that name the same dataset slice to users at different locations.</w:t>
      </w:r>
    </w:p>
    <w:p w14:paraId="0687494C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Negotiation &amp; Planning produces a share plan</w:t>
      </w:r>
      <w:r>
        <w:t xml:space="preserve"> — A project lead’s request to share a slice (“Team B at Lab Y gets read-only access to columns 1–40 of dataset D for 30 days”) becomes a declarative plan that the platform validates before any data moves.</w:t>
      </w:r>
    </w:p>
    <w:p w14:paraId="0F139618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Managed Memory holds the dataset and its subsets</w:t>
      </w:r>
      <w:r>
        <w:t xml:space="preserve"> — The dataset is registered as a </w:t>
      </w:r>
      <w:proofErr w:type="spellStart"/>
      <w:r>
        <w:t>MemoryRecord</w:t>
      </w:r>
      <w:proofErr w:type="spellEnd"/>
      <w:r>
        <w:t xml:space="preserve"> with provenance and ACLs. Subsets are stored once and referenced by ID, so M locations do not need M copies; the same canonical record is exposed through different capability tokens.</w:t>
      </w:r>
    </w:p>
    <w:p w14:paraId="7D71D402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Accounting &amp; Budgets meters per user and per location</w:t>
      </w:r>
      <w:r>
        <w:t xml:space="preserve"> — </w:t>
      </w:r>
      <w:proofErr w:type="spellStart"/>
      <w:r>
        <w:t>UsageMeter</w:t>
      </w:r>
      <w:proofErr w:type="spellEnd"/>
      <w:r>
        <w:t xml:space="preserve"> tracks read volume, storage, and egress per user, per site. </w:t>
      </w:r>
      <w:proofErr w:type="spellStart"/>
      <w:r>
        <w:t>BudgetPolicy</w:t>
      </w:r>
      <w:proofErr w:type="spellEnd"/>
      <w:r>
        <w:t xml:space="preserve"> can cap, for example, total egress out of Lab X per month, or per-user query volume, before anything expensive happens.</w:t>
      </w:r>
    </w:p>
    <w:p w14:paraId="12DF40E6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Agent Coordination handles cross-site handoffs</w:t>
      </w:r>
      <w:r>
        <w:t xml:space="preserve"> — When a user at Lab A hands a task to a user (or agent) at Lab B, coordination preserves the project context and the relevant capability tokens; nobody re-authorizes from scratch.</w:t>
      </w:r>
    </w:p>
    <w:p w14:paraId="19C967E3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lastRenderedPageBreak/>
        <w:t>Sandbox Actuation enforces data locality and export rules</w:t>
      </w:r>
      <w:r>
        <w:t xml:space="preserve"> — Actual reads happen inside the sandbox, where policy (export control, PII redaction, residency) is checked before bytes leave a site’s perimeter.</w:t>
      </w:r>
    </w:p>
    <w:p w14:paraId="5EA32902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Supervision and Reasoning Observability give the full audit trail</w:t>
      </w:r>
      <w:r>
        <w:t xml:space="preserve"> — Every read, share, and revoke is an event in the standard event envelope. External supervisors can pause or revoke a share in real time, and the failure taxonomy makes incidents </w:t>
      </w:r>
      <w:proofErr w:type="spellStart"/>
      <w:r>
        <w:t>debuggable</w:t>
      </w:r>
      <w:proofErr w:type="spellEnd"/>
      <w:r>
        <w:t xml:space="preserve"> across sites.</w:t>
      </w:r>
    </w:p>
    <w:p w14:paraId="34691EC0" w14:textId="77777777" w:rsidR="00BE5F29" w:rsidRDefault="00BE5F29">
      <w:pPr>
        <w:spacing w:after="60"/>
      </w:pPr>
    </w:p>
    <w:p w14:paraId="3FCD6A3E" w14:textId="77777777" w:rsidR="00BE5F29" w:rsidRDefault="00000000">
      <w:pPr>
        <w:spacing w:after="120" w:line="300" w:lineRule="auto"/>
        <w:rPr>
          <w:b/>
          <w:bCs/>
        </w:rPr>
      </w:pPr>
      <w:r>
        <w:rPr>
          <w:b/>
          <w:bCs/>
        </w:rPr>
        <w:t>Net effect:</w:t>
      </w:r>
    </w:p>
    <w:p w14:paraId="467192BB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One identity model, one capability model, and one audit stream across all M sites.</w:t>
      </w:r>
    </w:p>
    <w:p w14:paraId="0E16F158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Data is shared by reference, metered per user and per location, and governed centrally.</w:t>
      </w:r>
    </w:p>
    <w:p w14:paraId="2135758B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Adding the (N+1)</w:t>
      </w:r>
      <w:proofErr w:type="spellStart"/>
      <w:r>
        <w:t>th</w:t>
      </w:r>
      <w:proofErr w:type="spellEnd"/>
      <w:r>
        <w:t xml:space="preserve"> user or the (M+1)</w:t>
      </w:r>
      <w:proofErr w:type="spellStart"/>
      <w:r>
        <w:t>th</w:t>
      </w:r>
      <w:proofErr w:type="spellEnd"/>
      <w:r>
        <w:t xml:space="preserve"> site is a token-issuance and ACL change — not a new integration.</w:t>
      </w:r>
    </w:p>
    <w:p w14:paraId="1AEB0E4B" w14:textId="77777777" w:rsidR="00BE5F29" w:rsidRDefault="00000000">
      <w:pPr>
        <w:pStyle w:val="Heading2"/>
      </w:pPr>
      <w:r>
        <w:t>2. Controlling an automated experimental tool at a remote laboratory</w:t>
      </w:r>
    </w:p>
    <w:p w14:paraId="469020F2" w14:textId="77777777" w:rsidR="00BE5F29" w:rsidRDefault="00000000">
      <w:pPr>
        <w:pBdr>
          <w:left w:val="single" w:sz="18" w:space="8" w:color="2E75B6"/>
        </w:pBdr>
        <w:spacing w:before="80" w:after="200" w:line="300" w:lineRule="auto"/>
        <w:ind w:left="360"/>
      </w:pPr>
      <w:r>
        <w:rPr>
          <w:i/>
          <w:iCs/>
        </w:rPr>
        <w:t>“A user located at one national laboratory should be able to control an automated experimental tool at a remote laboratory…”</w:t>
      </w:r>
    </w:p>
    <w:p w14:paraId="224CCB9E" w14:textId="77777777" w:rsidR="00BE5F29" w:rsidRDefault="00000000">
      <w:pPr>
        <w:pStyle w:val="Heading3"/>
      </w:pPr>
      <w:r>
        <w:t>How the architecture supports it</w:t>
      </w:r>
    </w:p>
    <w:p w14:paraId="772C2EDB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Entry &amp; authentication</w:t>
      </w:r>
      <w:r>
        <w:t xml:space="preserve"> — The user (or their agent) at Lab A authenticates to the v2 gateway. The remote tool is reachable only through this gateway; there is no out-of-band channel to the instrument.</w:t>
      </w:r>
    </w:p>
    <w:p w14:paraId="750E8C2E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Identity &amp; Trust mints an instrument-scoped capability token</w:t>
      </w:r>
      <w:r>
        <w:t xml:space="preserve"> — The token is bound to a specific instrument at Lab B, has a bounded validity window, a maximum action count, and a policy envelope (allowed move ranges, temperatures, beam times, etc.).</w:t>
      </w:r>
    </w:p>
    <w:p w14:paraId="4A24ADE2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Negotiation &amp; Planning negotiates with Lab B</w:t>
      </w:r>
      <w:r>
        <w:t xml:space="preserve"> — The agent submits an experiment plan. The platform negotiates queue position, safety preconditions, calibration state, and required approvals with Lab B before any hardware moves. The output is a concrete workflow with explicit checkpoints.</w:t>
      </w:r>
    </w:p>
    <w:p w14:paraId="7C2F839A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Durable Execution drives the experiment</w:t>
      </w:r>
      <w:r>
        <w:t xml:space="preserve"> — The experiment runs as a durable workflow: each step is checkpointed, retries are policy-driven, and a network or process failure resumes from the last checkpoint instead of corrupting the run.</w:t>
      </w:r>
    </w:p>
    <w:p w14:paraId="45D8963E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Sandbox Actuation gates every command to the instrument</w:t>
      </w:r>
      <w:r>
        <w:t xml:space="preserve"> — Each tool call is validated against the policy envelope. Anything outside the envelope is rejected at the sandbox boundary — the instrument never receives an out-of-spec command.</w:t>
      </w:r>
    </w:p>
    <w:p w14:paraId="2108A690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lastRenderedPageBreak/>
        <w:t>Propose / approve covers exception paths</w:t>
      </w:r>
      <w:r>
        <w:t xml:space="preserve"> — Actions outside the pre-approved envelope (e.g., “raise temperature beyond the safe range”) are proposed back to a human supervisor at Lab B, or the user at Lab A, and only execute after explicit approval.</w:t>
      </w:r>
    </w:p>
    <w:p w14:paraId="63EA9436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Managed Memory captures telemetry and outputs</w:t>
      </w:r>
      <w:r>
        <w:t xml:space="preserve"> — Raw data, calibration state, and metadata are written to memory with provenance back to the capability token and the plan, so the experiment is reproducible later.</w:t>
      </w:r>
    </w:p>
    <w:p w14:paraId="3944DAC5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Reasoning Observability provides a live trace</w:t>
      </w:r>
      <w:r>
        <w:t xml:space="preserve"> — Tool-call events and reasoning-node events stream out of the workflow in real time, so the user at Lab A (and any reviewer) can watch what the agent is doing on the remote instrument.</w:t>
      </w:r>
    </w:p>
    <w:p w14:paraId="21899AC6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Supervision allows either lab to pause or abort</w:t>
      </w:r>
      <w:r>
        <w:t xml:space="preserve"> — External supervisors at Lab A or Lab B can pause, revoke the capability token, or abort the workflow. Failures are classified using the v2 failure taxonomy, so postmortems are routine.</w:t>
      </w:r>
    </w:p>
    <w:p w14:paraId="3703644A" w14:textId="77777777" w:rsidR="00BE5F29" w:rsidRDefault="00BE5F29">
      <w:pPr>
        <w:spacing w:after="60"/>
      </w:pPr>
    </w:p>
    <w:p w14:paraId="182B33DE" w14:textId="77777777" w:rsidR="00BE5F29" w:rsidRDefault="00000000">
      <w:pPr>
        <w:spacing w:after="120" w:line="300" w:lineRule="auto"/>
        <w:rPr>
          <w:b/>
          <w:bCs/>
        </w:rPr>
      </w:pPr>
      <w:r>
        <w:rPr>
          <w:b/>
          <w:bCs/>
        </w:rPr>
        <w:t>Net effect:</w:t>
      </w:r>
    </w:p>
    <w:p w14:paraId="4C717BFA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Remote actuation is a first-class, policy-bound operation — not a custom RPC bolted on per instrument.</w:t>
      </w:r>
    </w:p>
    <w:p w14:paraId="38AE05BB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Safety and governance are enforced by the platform, not by every experiment script.</w:t>
      </w:r>
    </w:p>
    <w:p w14:paraId="071E9D98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The same control pattern works for any instrument that exposes a v2-conformant sandbox.</w:t>
      </w:r>
    </w:p>
    <w:p w14:paraId="3C908EB6" w14:textId="77777777" w:rsidR="00BE5F29" w:rsidRDefault="00000000">
      <w:pPr>
        <w:pStyle w:val="Heading2"/>
      </w:pPr>
      <w:r>
        <w:t>3. Provisioning compute and data in ANSP/</w:t>
      </w:r>
      <w:proofErr w:type="spellStart"/>
      <w:r>
        <w:t>AmSC</w:t>
      </w:r>
      <w:proofErr w:type="spellEnd"/>
      <w:r>
        <w:t xml:space="preserve"> via a script-based API</w:t>
      </w:r>
    </w:p>
    <w:p w14:paraId="10BFA254" w14:textId="77777777" w:rsidR="00BE5F29" w:rsidRDefault="00000000">
      <w:pPr>
        <w:pBdr>
          <w:left w:val="single" w:sz="18" w:space="8" w:color="2E75B6"/>
        </w:pBdr>
        <w:spacing w:before="80" w:after="200" w:line="300" w:lineRule="auto"/>
        <w:ind w:left="360"/>
      </w:pPr>
      <w:r>
        <w:rPr>
          <w:i/>
          <w:iCs/>
        </w:rPr>
        <w:t>“A user located at one national laboratory should be able to provision compute and data resources in the ANSP/</w:t>
      </w:r>
      <w:proofErr w:type="spellStart"/>
      <w:r>
        <w:rPr>
          <w:i/>
          <w:iCs/>
        </w:rPr>
        <w:t>AmSC</w:t>
      </w:r>
      <w:proofErr w:type="spellEnd"/>
      <w:r>
        <w:rPr>
          <w:i/>
          <w:iCs/>
        </w:rPr>
        <w:t xml:space="preserve"> using a script-based API…”</w:t>
      </w:r>
    </w:p>
    <w:p w14:paraId="22C32B90" w14:textId="77777777" w:rsidR="00BE5F29" w:rsidRDefault="00000000">
      <w:pPr>
        <w:pStyle w:val="Heading3"/>
      </w:pPr>
      <w:r>
        <w:t>How the architecture supports it</w:t>
      </w:r>
    </w:p>
    <w:p w14:paraId="346AEBE2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Entry &amp; authentication</w:t>
      </w:r>
      <w:r>
        <w:t xml:space="preserve"> — The script authenticates to the v2 gateway with a bearer JWT tied to the user’s institutional identity. Because the contract surface is the same REST gateway, the same script works against any ANSP/</w:t>
      </w:r>
      <w:proofErr w:type="spellStart"/>
      <w:r>
        <w:t>AmSC</w:t>
      </w:r>
      <w:proofErr w:type="spellEnd"/>
      <w:r>
        <w:t xml:space="preserve"> site that implements the v2 conformance profile.</w:t>
      </w:r>
    </w:p>
    <w:p w14:paraId="04E81C44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Identity &amp; Trust issues a provisioning-scoped capability token</w:t>
      </w:r>
      <w:r>
        <w:t xml:space="preserve"> — Token scope: which compute pools, which data zones, max wall-time, max nodes, max storage, allowed egress. The script never sees raw scheduler credentials.</w:t>
      </w:r>
    </w:p>
    <w:p w14:paraId="5791040A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Negotiation &amp; Planning turns the script call into a plan</w:t>
      </w:r>
      <w:r>
        <w:t xml:space="preserve"> — The request “allocate N nodes for T hours in zone Z, mount datasets D1…Dk” becomes a plan that the platform negotiates against quota, fairness, and queue policy before committing.</w:t>
      </w:r>
    </w:p>
    <w:p w14:paraId="7154DB55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lastRenderedPageBreak/>
        <w:t>Accounting &amp; Budgets attach a budget up front</w:t>
      </w:r>
      <w:r>
        <w:t xml:space="preserve"> — A </w:t>
      </w:r>
      <w:proofErr w:type="spellStart"/>
      <w:r>
        <w:t>BudgetPolicy</w:t>
      </w:r>
      <w:proofErr w:type="spellEnd"/>
      <w:r>
        <w:t xml:space="preserve"> is bound to the allocation. </w:t>
      </w:r>
      <w:proofErr w:type="spellStart"/>
      <w:r>
        <w:t>UsageMeter</w:t>
      </w:r>
      <w:proofErr w:type="spellEnd"/>
      <w:r>
        <w:t xml:space="preserve"> starts counting node-hours, GB-hours, and egress immediately, so the script cannot silently overshoot.</w:t>
      </w:r>
    </w:p>
    <w:p w14:paraId="5F6F34B4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Durable Execution drives the provisioning workflow</w:t>
      </w:r>
      <w:r>
        <w:t xml:space="preserve"> — Provisioning is itself a workflow: allocate → mount → bring-up → handoff. Each step is checkpointed, so a transient failure resumes mid-flight rather than restarting from scratch.</w:t>
      </w:r>
    </w:p>
    <w:p w14:paraId="4845BBBA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Sandbox Actuation calls the underlying schedulers and storage</w:t>
      </w:r>
      <w:r>
        <w:t xml:space="preserve"> — Calls to the resource manager and storage system go through the sandbox, where side-effects are validated against policy before they hit the facility’s control plane.</w:t>
      </w:r>
    </w:p>
    <w:p w14:paraId="363F9C59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Conformance Profile guarantees portability</w:t>
      </w:r>
      <w:r>
        <w:t xml:space="preserve"> — Because the script-based API is part of the v2 conformance profile, replay safety, policy enforcement, the standard event envelope, and the failure taxonomy are guaranteed at any v2-compliant facility — the script behaves the same way at every site.</w:t>
      </w:r>
    </w:p>
    <w:p w14:paraId="415DCAA3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Reasoning Observability + Supervision close the loop</w:t>
      </w:r>
      <w:r>
        <w:t xml:space="preserve"> — Every allocation, mount, and release is an event. Reproducibility, governance, and safe side-effects are platform outcomes — not concerns the script </w:t>
      </w:r>
      <w:proofErr w:type="gramStart"/>
      <w:r>
        <w:t>has to</w:t>
      </w:r>
      <w:proofErr w:type="gramEnd"/>
      <w:r>
        <w:t xml:space="preserve"> solve on its own.</w:t>
      </w:r>
    </w:p>
    <w:p w14:paraId="4633B3EB" w14:textId="77777777" w:rsidR="00BE5F29" w:rsidRDefault="00BE5F29">
      <w:pPr>
        <w:spacing w:after="60"/>
      </w:pPr>
    </w:p>
    <w:p w14:paraId="488A1D01" w14:textId="77777777" w:rsidR="00BE5F29" w:rsidRDefault="00000000">
      <w:pPr>
        <w:spacing w:after="120" w:line="300" w:lineRule="auto"/>
        <w:rPr>
          <w:b/>
          <w:bCs/>
        </w:rPr>
      </w:pPr>
      <w:r>
        <w:rPr>
          <w:b/>
          <w:bCs/>
        </w:rPr>
        <w:t>Net effect:</w:t>
      </w:r>
    </w:p>
    <w:p w14:paraId="75879902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A scripted user at one lab gets safe, metered, governable allocations in ANSP/</w:t>
      </w:r>
      <w:proofErr w:type="spellStart"/>
      <w:r>
        <w:t>AmSC</w:t>
      </w:r>
      <w:proofErr w:type="spellEnd"/>
      <w:r>
        <w:t xml:space="preserve"> without bespoke integration per facility.</w:t>
      </w:r>
    </w:p>
    <w:p w14:paraId="6E05E646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Quotas, budgets, and policy are enforced by the platform, not by trust in the calling script.</w:t>
      </w:r>
    </w:p>
    <w:p w14:paraId="735FF1B4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The same script ports across v2-compliant facilities because of the conformance profile.</w:t>
      </w:r>
    </w:p>
    <w:p w14:paraId="42C88458" w14:textId="77777777" w:rsidR="00BE5F29" w:rsidRDefault="00000000">
      <w:pPr>
        <w:pStyle w:val="Heading2"/>
      </w:pPr>
      <w:r>
        <w:t>4. Abstracted model access with prompt scanning and credit allocation</w:t>
      </w:r>
    </w:p>
    <w:p w14:paraId="218A0AD9" w14:textId="77777777" w:rsidR="00BE5F29" w:rsidRDefault="00000000">
      <w:pPr>
        <w:pBdr>
          <w:left w:val="single" w:sz="18" w:space="8" w:color="2E75B6"/>
        </w:pBdr>
        <w:spacing w:before="80" w:after="200" w:line="300" w:lineRule="auto"/>
        <w:ind w:left="360"/>
      </w:pPr>
      <w:r>
        <w:rPr>
          <w:i/>
          <w:iCs/>
        </w:rPr>
        <w:t>“Users of the Genesis Platform will not directly access models, and instead will go through an abstracted interface that can scan prompts, allocate/count credits…”</w:t>
      </w:r>
    </w:p>
    <w:p w14:paraId="47CEE95E" w14:textId="77777777" w:rsidR="00BE5F29" w:rsidRDefault="00000000">
      <w:pPr>
        <w:pStyle w:val="Heading3"/>
      </w:pPr>
      <w:r>
        <w:t>How the architecture supports it</w:t>
      </w:r>
    </w:p>
    <w:p w14:paraId="67DBA060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Entry &amp; abstraction</w:t>
      </w:r>
      <w:r>
        <w:t xml:space="preserve"> — Users and applications only ever talk to the v2 REST API gateway. They have no direct path to a model endpoint — the gateway is the abstracted interface.</w:t>
      </w:r>
    </w:p>
    <w:p w14:paraId="6FA46BEC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Identity &amp; Trust mints a model-scoped capability token</w:t>
      </w:r>
      <w:r>
        <w:t xml:space="preserve"> — The token names which model classes, latency tiers, and data-sensitivity levels the user may invoke. A user with a research-tier token cannot reach a production model, even if they know the URL.</w:t>
      </w:r>
    </w:p>
    <w:p w14:paraId="11CD2FE7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lastRenderedPageBreak/>
        <w:t>Supervision performs prompt scanning before any model call</w:t>
      </w:r>
      <w:r>
        <w:t xml:space="preserve"> — PII filters, jailbreak detectors, and topic-policy checks run at the gateway. A prompt that fails policy is rejected with a typed failure from the v2 failure taxonomy — the model never sees it.</w:t>
      </w:r>
    </w:p>
    <w:p w14:paraId="07B36B71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Accounting &amp; Budgets allocate and count credits</w:t>
      </w:r>
      <w:r>
        <w:t xml:space="preserve"> — </w:t>
      </w:r>
      <w:proofErr w:type="spellStart"/>
      <w:r>
        <w:t>BudgetPolicy</w:t>
      </w:r>
      <w:proofErr w:type="spellEnd"/>
      <w:r>
        <w:t xml:space="preserve"> reserves credits up front; </w:t>
      </w:r>
      <w:proofErr w:type="spellStart"/>
      <w:r>
        <w:t>UsageMeter</w:t>
      </w:r>
      <w:proofErr w:type="spellEnd"/>
      <w:r>
        <w:t xml:space="preserve"> records token-in/token-out per call. If the user (or project) is out of credit, the call is stopped before it reaches the model. Credit accounting is centralized, not duplicated per model.</w:t>
      </w:r>
    </w:p>
    <w:p w14:paraId="092D7C36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Negotiation &amp; Planning routes to the right model</w:t>
      </w:r>
      <w:r>
        <w:t xml:space="preserve"> — Given the capability token, the prompt, and current load, the platform routes to the appropriate model based on capability, cost, and SLA. Routing is policy-driven, not user-driven.</w:t>
      </w:r>
    </w:p>
    <w:p w14:paraId="3102D2E6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Managed Memory enables caching and retrieval</w:t>
      </w:r>
      <w:r>
        <w:t xml:space="preserve"> — Prompts and responses (where policy allows) are stored as MemoryRecords with provenance, so caching and retrieval-augmented flows can reuse prior work without leaking across users.</w:t>
      </w:r>
    </w:p>
    <w:p w14:paraId="54618CA2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Reasoning Observability emits a full event trail</w:t>
      </w:r>
      <w:r>
        <w:t xml:space="preserve"> — Every model invocation produces reasoning-node and tool-call events in the standard envelope, which feeds eval pipelines, audit, and incident response.</w:t>
      </w:r>
    </w:p>
    <w:p w14:paraId="3D5CFCD7" w14:textId="77777777" w:rsidR="00BE5F29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rPr>
          <w:b/>
          <w:bCs/>
        </w:rPr>
        <w:t>Conformance Profile makes the controls non-optional</w:t>
      </w:r>
      <w:r>
        <w:t xml:space="preserve"> — Because the v2 conformance profile mandates these enforcement points, prompt scanning, credit accounting, and audit fire on every v2 call — not just on well-behaved clients.</w:t>
      </w:r>
    </w:p>
    <w:p w14:paraId="335CA3B7" w14:textId="77777777" w:rsidR="00BE5F29" w:rsidRDefault="00BE5F29">
      <w:pPr>
        <w:spacing w:after="60"/>
      </w:pPr>
    </w:p>
    <w:p w14:paraId="040174A2" w14:textId="77777777" w:rsidR="00BE5F29" w:rsidRDefault="00000000">
      <w:pPr>
        <w:spacing w:after="120" w:line="300" w:lineRule="auto"/>
        <w:rPr>
          <w:b/>
          <w:bCs/>
        </w:rPr>
      </w:pPr>
      <w:r>
        <w:rPr>
          <w:b/>
          <w:bCs/>
        </w:rPr>
        <w:t>Net effect:</w:t>
      </w:r>
    </w:p>
    <w:p w14:paraId="46E41376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Models are an internal resource; the user-visible surface is the gateway plus capability tokens.</w:t>
      </w:r>
    </w:p>
    <w:p w14:paraId="36CB80F1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Prompt safety, credit accounting, and audit are platform-level guarantees, not per-application code.</w:t>
      </w:r>
    </w:p>
    <w:p w14:paraId="381E66AE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Adding a new model is an internal routing change — user contracts and controls don’t move.</w:t>
      </w:r>
    </w:p>
    <w:p w14:paraId="015605D8" w14:textId="77777777" w:rsidR="00BE5F29" w:rsidRDefault="00000000">
      <w:pPr>
        <w:pStyle w:val="Heading2"/>
      </w:pPr>
      <w:r>
        <w:t>Cross-cutting: how the same architecture covers all four cases</w:t>
      </w:r>
    </w:p>
    <w:p w14:paraId="5C2AE0C5" w14:textId="77777777" w:rsidR="00BE5F29" w:rsidRDefault="00000000">
      <w:pPr>
        <w:spacing w:after="120" w:line="300" w:lineRule="auto"/>
      </w:pPr>
      <w:r>
        <w:t>Each requirement above is solved by the same composition of v2 service domains — only the scope of the capability token, the sandbox policy, and the budget shape change. That is the point of an agent-native platform: planning, execution, memory, coordination, safety controls, and supervision are first-class API contracts, so new use cases reuse them rather than reinventing them.</w:t>
      </w:r>
    </w:p>
    <w:p w14:paraId="73FDD356" w14:textId="77777777" w:rsidR="00BE5F29" w:rsidRDefault="00000000">
      <w:pPr>
        <w:spacing w:after="120" w:line="300" w:lineRule="auto"/>
      </w:pPr>
      <w:r>
        <w:t>Concretely, in every case:</w:t>
      </w:r>
    </w:p>
    <w:p w14:paraId="6BA17384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Identity &amp; Trust scopes what is allowed before anything runs.</w:t>
      </w:r>
    </w:p>
    <w:p w14:paraId="2BD970BC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Negotiation &amp; Planning turns a request into a plan the platform can validate.</w:t>
      </w:r>
    </w:p>
    <w:p w14:paraId="4FC6B7C9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lastRenderedPageBreak/>
        <w:t>Durable Execution and Sandbox Actuation make side effects safe and resumable.</w:t>
      </w:r>
    </w:p>
    <w:p w14:paraId="15856B8B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Managed Memory and Accounting &amp; Budgets make the work auditable, reproducible, and bounded.</w:t>
      </w:r>
    </w:p>
    <w:p w14:paraId="3A7B7EF3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Agent Coordination and Supervision make the work safe across multiple actors and sites.</w:t>
      </w:r>
    </w:p>
    <w:p w14:paraId="2EC206BF" w14:textId="77777777" w:rsidR="00BE5F2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Reasoning Observability spans the entire lifecycle, so security, reproducibility, governance, multi-agent interoperability, and safe side-effects emerge as platform outcomes — not per-project add-ons.</w:t>
      </w:r>
    </w:p>
    <w:sectPr w:rsidR="00BE5F2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02A2E" w14:textId="77777777" w:rsidR="000654B9" w:rsidRDefault="000654B9">
      <w:r>
        <w:separator/>
      </w:r>
    </w:p>
  </w:endnote>
  <w:endnote w:type="continuationSeparator" w:id="0">
    <w:p w14:paraId="1B440AB1" w14:textId="77777777" w:rsidR="000654B9" w:rsidRDefault="00065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463E" w14:textId="77777777" w:rsidR="00BE5F29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F6AC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BF6AC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86F34" w14:textId="77777777" w:rsidR="000654B9" w:rsidRDefault="000654B9">
      <w:r>
        <w:separator/>
      </w:r>
    </w:p>
  </w:footnote>
  <w:footnote w:type="continuationSeparator" w:id="0">
    <w:p w14:paraId="15F63B7A" w14:textId="77777777" w:rsidR="000654B9" w:rsidRDefault="00065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421E"/>
    <w:multiLevelType w:val="hybridMultilevel"/>
    <w:tmpl w:val="52ACF33C"/>
    <w:lvl w:ilvl="0" w:tplc="FA2AD4C0">
      <w:start w:val="1"/>
      <w:numFmt w:val="decimal"/>
      <w:lvlText w:val="%1."/>
      <w:lvlJc w:val="left"/>
      <w:pPr>
        <w:ind w:left="720" w:hanging="360"/>
      </w:pPr>
    </w:lvl>
    <w:lvl w:ilvl="1" w:tplc="4216C41A">
      <w:numFmt w:val="decimal"/>
      <w:lvlText w:val=""/>
      <w:lvlJc w:val="left"/>
    </w:lvl>
    <w:lvl w:ilvl="2" w:tplc="AFCC9A68">
      <w:numFmt w:val="decimal"/>
      <w:lvlText w:val=""/>
      <w:lvlJc w:val="left"/>
    </w:lvl>
    <w:lvl w:ilvl="3" w:tplc="0526BD64">
      <w:numFmt w:val="decimal"/>
      <w:lvlText w:val=""/>
      <w:lvlJc w:val="left"/>
    </w:lvl>
    <w:lvl w:ilvl="4" w:tplc="6058A7FE">
      <w:numFmt w:val="decimal"/>
      <w:lvlText w:val=""/>
      <w:lvlJc w:val="left"/>
    </w:lvl>
    <w:lvl w:ilvl="5" w:tplc="6F4E7ED6">
      <w:numFmt w:val="decimal"/>
      <w:lvlText w:val=""/>
      <w:lvlJc w:val="left"/>
    </w:lvl>
    <w:lvl w:ilvl="6" w:tplc="62DAD622">
      <w:numFmt w:val="decimal"/>
      <w:lvlText w:val=""/>
      <w:lvlJc w:val="left"/>
    </w:lvl>
    <w:lvl w:ilvl="7" w:tplc="63DC5E7C">
      <w:numFmt w:val="decimal"/>
      <w:lvlText w:val=""/>
      <w:lvlJc w:val="left"/>
    </w:lvl>
    <w:lvl w:ilvl="8" w:tplc="2B6C32DA">
      <w:numFmt w:val="decimal"/>
      <w:lvlText w:val=""/>
      <w:lvlJc w:val="left"/>
    </w:lvl>
  </w:abstractNum>
  <w:abstractNum w:abstractNumId="1" w15:restartNumberingAfterBreak="0">
    <w:nsid w:val="70402445"/>
    <w:multiLevelType w:val="hybridMultilevel"/>
    <w:tmpl w:val="4CF279A0"/>
    <w:lvl w:ilvl="0" w:tplc="81808C26">
      <w:start w:val="1"/>
      <w:numFmt w:val="bullet"/>
      <w:lvlText w:val="•"/>
      <w:lvlJc w:val="left"/>
      <w:pPr>
        <w:ind w:left="720" w:hanging="360"/>
      </w:pPr>
    </w:lvl>
    <w:lvl w:ilvl="1" w:tplc="205CD60A">
      <w:numFmt w:val="decimal"/>
      <w:lvlText w:val=""/>
      <w:lvlJc w:val="left"/>
    </w:lvl>
    <w:lvl w:ilvl="2" w:tplc="F6C0AA08">
      <w:numFmt w:val="decimal"/>
      <w:lvlText w:val=""/>
      <w:lvlJc w:val="left"/>
    </w:lvl>
    <w:lvl w:ilvl="3" w:tplc="93F2498A">
      <w:numFmt w:val="decimal"/>
      <w:lvlText w:val=""/>
      <w:lvlJc w:val="left"/>
    </w:lvl>
    <w:lvl w:ilvl="4" w:tplc="C4B4DD60">
      <w:numFmt w:val="decimal"/>
      <w:lvlText w:val=""/>
      <w:lvlJc w:val="left"/>
    </w:lvl>
    <w:lvl w:ilvl="5" w:tplc="3B9096F8">
      <w:numFmt w:val="decimal"/>
      <w:lvlText w:val=""/>
      <w:lvlJc w:val="left"/>
    </w:lvl>
    <w:lvl w:ilvl="6" w:tplc="52D2ADBC">
      <w:numFmt w:val="decimal"/>
      <w:lvlText w:val=""/>
      <w:lvlJc w:val="left"/>
    </w:lvl>
    <w:lvl w:ilvl="7" w:tplc="7EE239FE">
      <w:numFmt w:val="decimal"/>
      <w:lvlText w:val=""/>
      <w:lvlJc w:val="left"/>
    </w:lvl>
    <w:lvl w:ilvl="8" w:tplc="5650C880">
      <w:numFmt w:val="decimal"/>
      <w:lvlText w:val=""/>
      <w:lvlJc w:val="left"/>
    </w:lvl>
  </w:abstractNum>
  <w:abstractNum w:abstractNumId="2" w15:restartNumberingAfterBreak="0">
    <w:nsid w:val="774E2D24"/>
    <w:multiLevelType w:val="hybridMultilevel"/>
    <w:tmpl w:val="EEDAAF8E"/>
    <w:lvl w:ilvl="0" w:tplc="4EA6CE34">
      <w:start w:val="1"/>
      <w:numFmt w:val="bullet"/>
      <w:lvlText w:val="●"/>
      <w:lvlJc w:val="left"/>
      <w:pPr>
        <w:ind w:left="720" w:hanging="360"/>
      </w:pPr>
    </w:lvl>
    <w:lvl w:ilvl="1" w:tplc="3A426542">
      <w:start w:val="1"/>
      <w:numFmt w:val="bullet"/>
      <w:lvlText w:val="○"/>
      <w:lvlJc w:val="left"/>
      <w:pPr>
        <w:ind w:left="1440" w:hanging="360"/>
      </w:pPr>
    </w:lvl>
    <w:lvl w:ilvl="2" w:tplc="311C7900">
      <w:start w:val="1"/>
      <w:numFmt w:val="bullet"/>
      <w:lvlText w:val="■"/>
      <w:lvlJc w:val="left"/>
      <w:pPr>
        <w:ind w:left="2160" w:hanging="360"/>
      </w:pPr>
    </w:lvl>
    <w:lvl w:ilvl="3" w:tplc="6B926052">
      <w:start w:val="1"/>
      <w:numFmt w:val="bullet"/>
      <w:lvlText w:val="●"/>
      <w:lvlJc w:val="left"/>
      <w:pPr>
        <w:ind w:left="2880" w:hanging="360"/>
      </w:pPr>
    </w:lvl>
    <w:lvl w:ilvl="4" w:tplc="C47416E8">
      <w:start w:val="1"/>
      <w:numFmt w:val="bullet"/>
      <w:lvlText w:val="○"/>
      <w:lvlJc w:val="left"/>
      <w:pPr>
        <w:ind w:left="3600" w:hanging="360"/>
      </w:pPr>
    </w:lvl>
    <w:lvl w:ilvl="5" w:tplc="2BE67260">
      <w:start w:val="1"/>
      <w:numFmt w:val="bullet"/>
      <w:lvlText w:val="■"/>
      <w:lvlJc w:val="left"/>
      <w:pPr>
        <w:ind w:left="4320" w:hanging="360"/>
      </w:pPr>
    </w:lvl>
    <w:lvl w:ilvl="6" w:tplc="539E4948">
      <w:start w:val="1"/>
      <w:numFmt w:val="bullet"/>
      <w:lvlText w:val="●"/>
      <w:lvlJc w:val="left"/>
      <w:pPr>
        <w:ind w:left="5040" w:hanging="360"/>
      </w:pPr>
    </w:lvl>
    <w:lvl w:ilvl="7" w:tplc="BD04CFA2">
      <w:start w:val="1"/>
      <w:numFmt w:val="bullet"/>
      <w:lvlText w:val="●"/>
      <w:lvlJc w:val="left"/>
      <w:pPr>
        <w:ind w:left="5760" w:hanging="360"/>
      </w:pPr>
    </w:lvl>
    <w:lvl w:ilvl="8" w:tplc="0DF6DA38">
      <w:start w:val="1"/>
      <w:numFmt w:val="bullet"/>
      <w:lvlText w:val="●"/>
      <w:lvlJc w:val="left"/>
      <w:pPr>
        <w:ind w:left="6480" w:hanging="360"/>
      </w:pPr>
    </w:lvl>
  </w:abstractNum>
  <w:num w:numId="1" w16cid:durableId="1682512421">
    <w:abstractNumId w:val="2"/>
    <w:lvlOverride w:ilvl="0">
      <w:startOverride w:val="1"/>
    </w:lvlOverride>
  </w:num>
  <w:num w:numId="2" w16cid:durableId="1865708518">
    <w:abstractNumId w:val="0"/>
    <w:lvlOverride w:ilvl="0">
      <w:startOverride w:val="1"/>
    </w:lvlOverride>
  </w:num>
  <w:num w:numId="3" w16cid:durableId="392124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29"/>
    <w:rsid w:val="000654B9"/>
    <w:rsid w:val="000E53F9"/>
    <w:rsid w:val="008106AD"/>
    <w:rsid w:val="00BE5F29"/>
    <w:rsid w:val="00B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15009"/>
  <w15:docId w15:val="{19C8F4A3-A020-8049-A095-05622707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1751</Words>
  <Characters>9983</Characters>
  <Application>Microsoft Office Word</Application>
  <DocSecurity>0</DocSecurity>
  <Lines>83</Lines>
  <Paragraphs>23</Paragraphs>
  <ScaleCrop>false</ScaleCrop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GMP v2 API Architecture — Requirement Walkthroughs</dc:title>
  <dc:creator>Rick Stevens</dc:creator>
  <cp:lastModifiedBy>Brettin, Thomas S.</cp:lastModifiedBy>
  <cp:revision>2</cp:revision>
  <dcterms:created xsi:type="dcterms:W3CDTF">2026-05-08T15:29:00Z</dcterms:created>
  <dcterms:modified xsi:type="dcterms:W3CDTF">2026-05-08T15:29:00Z</dcterms:modified>
</cp:coreProperties>
</file>