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F5207" w14:textId="5EDAA810" w:rsidR="00F241C0" w:rsidRDefault="00F241C0" w:rsidP="00F241C0">
      <w:pPr>
        <w:rPr>
          <w:b/>
          <w:bCs/>
        </w:rPr>
      </w:pPr>
      <w:r w:rsidRPr="00F241C0">
        <w:rPr>
          <w:b/>
          <w:bCs/>
        </w:rPr>
        <w:t>System Architecture Evolution (v_0.1 to v_0.3.1)</w:t>
      </w:r>
    </w:p>
    <w:p w14:paraId="765779F4" w14:textId="2B80D61D" w:rsidR="00F241C0" w:rsidRPr="00F241C0" w:rsidRDefault="00F241C0" w:rsidP="00F241C0">
      <w:pPr>
        <w:rPr>
          <w:b/>
          <w:bCs/>
        </w:rPr>
      </w:pPr>
      <w:r>
        <w:rPr>
          <w:b/>
          <w:bCs/>
        </w:rPr>
        <w:t xml:space="preserve">Brettin, </w:t>
      </w:r>
      <w:proofErr w:type="spellStart"/>
      <w:r>
        <w:rPr>
          <w:b/>
          <w:bCs/>
        </w:rPr>
        <w:t>Courley</w:t>
      </w:r>
      <w:proofErr w:type="spellEnd"/>
      <w:r>
        <w:rPr>
          <w:b/>
          <w:bCs/>
        </w:rPr>
        <w:t>, Stevens, Cursor-Agent, ChatGPT, other AI tools used</w:t>
      </w:r>
    </w:p>
    <w:p w14:paraId="47BA7BAE" w14:textId="77777777" w:rsidR="00F241C0" w:rsidRPr="00F241C0" w:rsidRDefault="00F241C0" w:rsidP="00F241C0">
      <w:r w:rsidRPr="00F241C0">
        <w:t>The system architecture journey to v_0.3.1 is best understood as a disciplined progression from a useful API surface into a coherent control-plane architecture for governed, agent-enabled operations. Across four releases, the trajectory was not to “add more endpoints” for its own sake, but to define a stable architectural spine that can be adopted across environments while preserving local flexibility.</w:t>
      </w:r>
    </w:p>
    <w:p w14:paraId="58279275" w14:textId="77777777" w:rsidR="00F241C0" w:rsidRPr="00F241C0" w:rsidRDefault="00F241C0" w:rsidP="00F241C0">
      <w:r w:rsidRPr="00F241C0">
        <w:t>In v_0.1, the architecture established the first operational backbone. The emphasis was foundational: identity exchange, capability registration, baseline run submission and status, policy checks, availability, and journaling. In practical terms, this was the point where the platform could prove a basic request-to-execution path. Architecturally, however, v_0.1 was intentionally lean. It provided a starting frame for interoperability but did not yet model the fuller lifecycle realities of agentic systems: delegated authority over time, durable execution controls, supervised side effects, richer observability, or systematic reproducibility metadata. This was the correct scope for a first milestone—it validated feasibility and created a baseline vocabulary.</w:t>
      </w:r>
    </w:p>
    <w:p w14:paraId="012A80F4" w14:textId="77777777" w:rsidR="00F241C0" w:rsidRPr="00F241C0" w:rsidRDefault="00F241C0" w:rsidP="00F241C0">
      <w:r w:rsidRPr="00F241C0">
        <w:t>With v_0.2, the architecture moved from operational API design into agent-native design. This release significantly expanded system concerns from “can we run work?” to “can we govern autonomous and semi-autonomous work?” New capabilities were introduced around delegated capability tokens, run negotiation, durable execution primitives, memory services, accounting/budget controls, reasoning/evaluation support, agent coordination, sandboxed actuation flows, and supervision patterns. The important architectural shift here was conceptual: run control was no longer treated as a narrow job-submission interface; it became part of a broader control-plane model in which identity, policy, cost, safety, and oversight are all in-path. In executive terms, v_0.2 marked the transition from API modernization to governance architecture.</w:t>
      </w:r>
    </w:p>
    <w:p w14:paraId="56A1BA13" w14:textId="77777777" w:rsidR="00F241C0" w:rsidRPr="00F241C0" w:rsidRDefault="00F241C0" w:rsidP="00F241C0">
      <w:r w:rsidRPr="00F241C0">
        <w:t xml:space="preserve">v_0.3 then focused on unification. Instead of maintaining fragmented architectural lines, the team converged prior threads into a single /v3 surface. This mattered because fragmentation creates hidden enterprise cost: duplicated integration work, inconsistent semantics, and unclear conformance boundaries. The unification work aligned operations under one versioned path, normalized error handling, and established a consistent envelope strategy for events and related telemetry. More importantly, v_0.3 formalized the “spine” concept: the core contract should standardize the durable control-plane concerns that every deployment needs, while resisting pressure to encode every domain-specific </w:t>
      </w:r>
      <w:r w:rsidRPr="00F241C0">
        <w:lastRenderedPageBreak/>
        <w:t>workflow detail directly into the mandatory core. This decision is central to why the architecture remains implementable at scale.</w:t>
      </w:r>
    </w:p>
    <w:p w14:paraId="156C55E7" w14:textId="77777777" w:rsidR="00F241C0" w:rsidRPr="00F241C0" w:rsidRDefault="00F241C0" w:rsidP="00F241C0">
      <w:r w:rsidRPr="00F241C0">
        <w:t xml:space="preserve">The move to v_0.3.1 is a maturation release rather than a directional reset. It tightens and demonstrates the architecture that v_0.3 put in place. At this stage, the architecture is explicitly contract-first, with a closed validation loop across </w:t>
      </w:r>
      <w:proofErr w:type="spellStart"/>
      <w:r w:rsidRPr="00F241C0">
        <w:t>OpenAPI</w:t>
      </w:r>
      <w:proofErr w:type="spellEnd"/>
      <w:r w:rsidRPr="00F241C0">
        <w:t>, JSON Schemas, conformance profiles, and fixtures. It also clarifies scope through governance artifacts that disposition requirement “gaps” into the right architectural homes: some as core spine patches, some as experimental spine extensions, some as companion schemas, and others as capability-profile concerns or out-of-scope for core GA. This is a critical executive point: the team did not treat every gap as evidence of failure in the core. Instead, it used architecture governance to place each requirement where it can be implemented sustainably.</w:t>
      </w:r>
    </w:p>
    <w:p w14:paraId="78284C8A" w14:textId="77777777" w:rsidR="00F241C0" w:rsidRPr="00F241C0" w:rsidRDefault="00F241C0" w:rsidP="00F241C0">
      <w:r w:rsidRPr="00F241C0">
        <w:t xml:space="preserve">By v_0.3.1, the delivered system architecture can be described as a governed control-plane composed of interlocking domains. Identity establishes GMP-scoped sessions and supports delegated authority with revocation. Capability registry and planning allow discovery and pre-run negotiation. Run lifecycle APIs provide submit/get/cancel/retry and tie execution to reproducibility context such as hashes, seeds, and data versions. Durable execution controls provide pause/resume/checkpoint behavior for </w:t>
      </w:r>
      <w:proofErr w:type="gramStart"/>
      <w:r w:rsidRPr="00F241C0">
        <w:t>long-running</w:t>
      </w:r>
      <w:proofErr w:type="gramEnd"/>
      <w:r w:rsidRPr="00F241C0">
        <w:t xml:space="preserve"> and recoverable workloads. Budget and accounting interfaces place cost governance near orchestration rather than downstream in reporting. Memory and coordination APIs support stateful, multi-agent operating patterns. Sandboxed actuation and supervision flows provide controlled pathways for side effects and human intervention. Finally, a unified event stream provides the audit and provenance substrate needed for compliance, diagnostics, and post-hoc analysis.</w:t>
      </w:r>
    </w:p>
    <w:p w14:paraId="3D0D513B" w14:textId="77777777" w:rsidR="00F241C0" w:rsidRPr="00F241C0" w:rsidRDefault="00F241C0" w:rsidP="00F241C0">
      <w:r w:rsidRPr="00F241C0">
        <w:t>The practical quality of this architecture is reinforced by reference client behavior in v_0.3.1. The 10-minute clients exercise an end-to-end operational loop: session bootstrap, capability discovery, run planning, budget enforcement, run submission, periodic status/event/checkpoint polling, optional memory writes, usage probes, and chained run submission when terminal states occur before the window ends. This is not merely a demo script; it is evidence that the architecture works as an integrated system under continuous activity, not only as isolated API calls.</w:t>
      </w:r>
    </w:p>
    <w:p w14:paraId="42F20B17" w14:textId="77777777" w:rsidR="00F241C0" w:rsidRPr="00F241C0" w:rsidRDefault="00F241C0" w:rsidP="00F241C0">
      <w:r w:rsidRPr="00F241C0">
        <w:t xml:space="preserve">A second major architectural contribution in v_0.3.1 is explicit scope discipline via the spine-plus-companion model. The core spine remains mandatory and stable. Companion schemas provide portable but optional artifacts such as campaign plans, data movement intents, and evaluation publication metadata. Capability profiles and deployment adapters carry provider-specific execution semantics. This layered model is what allows enterprise </w:t>
      </w:r>
      <w:r w:rsidRPr="00F241C0">
        <w:lastRenderedPageBreak/>
        <w:t>interoperability without collapsing into a universal mega-spec. It is also what enables different programs to conform to a shared control-plane contract while retaining their own infrastructure and domain workflows.</w:t>
      </w:r>
    </w:p>
    <w:p w14:paraId="5AA05635" w14:textId="77777777" w:rsidR="00F241C0" w:rsidRPr="00F241C0" w:rsidRDefault="00F241C0" w:rsidP="00F241C0">
      <w:r w:rsidRPr="00F241C0">
        <w:t>From an executive standpoint, the cumulative evolution from v_0.1 to v_0.3.1 reflects increasing architectural maturity in four dimensions. First, governance moved from peripheral to central: policy, budget, and supervision now sit directly in operational flow. Second, interoperability moved from ad hoc to structured: conformance profiles and schema discipline make compatibility measurable. Third, resilience improved: durable execution and reproducibility semantics support repeatable, auditable operation over long-running workloads. Fourth, extensibility became intentional: companion and experimental paths provide innovation capacity without destabilizing core guarantees.</w:t>
      </w:r>
    </w:p>
    <w:p w14:paraId="54181BD3" w14:textId="77777777" w:rsidR="00F241C0" w:rsidRPr="00F241C0" w:rsidRDefault="00F241C0" w:rsidP="00F241C0">
      <w:r w:rsidRPr="00F241C0">
        <w:t>The resulting v_0.3.1 architecture is therefore best characterized as a production-minded control-plane baseline: narrow enough to be adoptable, rich enough to be governable, and extensible enough to evolve. It does not attempt to encode every enterprise workflow primitive in the mandatory API, and that is by design. Instead, it establishes the stable system architecture needed for broad adoption now, while preserving a clear mechanism for future enhancement. In that sense, the release history is coherent: v_0.1 proved foundation, v_0.2 expanded to agent-native governance, v_0.3 unified the contract line, and v_0.3.1 operationalized and disciplined the architecture for real integration work.</w:t>
      </w:r>
    </w:p>
    <w:p w14:paraId="2D1EB017" w14:textId="77777777" w:rsidR="00F241C0" w:rsidRDefault="00F241C0"/>
    <w:sectPr w:rsidR="00F241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1C0"/>
    <w:rsid w:val="000E53F9"/>
    <w:rsid w:val="00F24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3EA917"/>
  <w15:chartTrackingRefBased/>
  <w15:docId w15:val="{BA963EA7-7269-AF4C-9D24-62023C58F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1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1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1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1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1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1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1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1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1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1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1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1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1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1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1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1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1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1C0"/>
    <w:rPr>
      <w:rFonts w:eastAsiaTheme="majorEastAsia" w:cstheme="majorBidi"/>
      <w:color w:val="272727" w:themeColor="text1" w:themeTint="D8"/>
    </w:rPr>
  </w:style>
  <w:style w:type="paragraph" w:styleId="Title">
    <w:name w:val="Title"/>
    <w:basedOn w:val="Normal"/>
    <w:next w:val="Normal"/>
    <w:link w:val="TitleChar"/>
    <w:uiPriority w:val="10"/>
    <w:qFormat/>
    <w:rsid w:val="00F241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1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1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1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1C0"/>
    <w:pPr>
      <w:spacing w:before="160"/>
      <w:jc w:val="center"/>
    </w:pPr>
    <w:rPr>
      <w:i/>
      <w:iCs/>
      <w:color w:val="404040" w:themeColor="text1" w:themeTint="BF"/>
    </w:rPr>
  </w:style>
  <w:style w:type="character" w:customStyle="1" w:styleId="QuoteChar">
    <w:name w:val="Quote Char"/>
    <w:basedOn w:val="DefaultParagraphFont"/>
    <w:link w:val="Quote"/>
    <w:uiPriority w:val="29"/>
    <w:rsid w:val="00F241C0"/>
    <w:rPr>
      <w:i/>
      <w:iCs/>
      <w:color w:val="404040" w:themeColor="text1" w:themeTint="BF"/>
    </w:rPr>
  </w:style>
  <w:style w:type="paragraph" w:styleId="ListParagraph">
    <w:name w:val="List Paragraph"/>
    <w:basedOn w:val="Normal"/>
    <w:uiPriority w:val="34"/>
    <w:qFormat/>
    <w:rsid w:val="00F241C0"/>
    <w:pPr>
      <w:ind w:left="720"/>
      <w:contextualSpacing/>
    </w:pPr>
  </w:style>
  <w:style w:type="character" w:styleId="IntenseEmphasis">
    <w:name w:val="Intense Emphasis"/>
    <w:basedOn w:val="DefaultParagraphFont"/>
    <w:uiPriority w:val="21"/>
    <w:qFormat/>
    <w:rsid w:val="00F241C0"/>
    <w:rPr>
      <w:i/>
      <w:iCs/>
      <w:color w:val="0F4761" w:themeColor="accent1" w:themeShade="BF"/>
    </w:rPr>
  </w:style>
  <w:style w:type="paragraph" w:styleId="IntenseQuote">
    <w:name w:val="Intense Quote"/>
    <w:basedOn w:val="Normal"/>
    <w:next w:val="Normal"/>
    <w:link w:val="IntenseQuoteChar"/>
    <w:uiPriority w:val="30"/>
    <w:qFormat/>
    <w:rsid w:val="00F241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1C0"/>
    <w:rPr>
      <w:i/>
      <w:iCs/>
      <w:color w:val="0F4761" w:themeColor="accent1" w:themeShade="BF"/>
    </w:rPr>
  </w:style>
  <w:style w:type="character" w:styleId="IntenseReference">
    <w:name w:val="Intense Reference"/>
    <w:basedOn w:val="DefaultParagraphFont"/>
    <w:uiPriority w:val="32"/>
    <w:qFormat/>
    <w:rsid w:val="00F241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1095</Words>
  <Characters>6246</Characters>
  <Application>Microsoft Office Word</Application>
  <DocSecurity>0</DocSecurity>
  <Lines>52</Lines>
  <Paragraphs>14</Paragraphs>
  <ScaleCrop>false</ScaleCrop>
  <Company/>
  <LinksUpToDate>false</LinksUpToDate>
  <CharactersWithSpaces>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Brettin, Thomas S.</dc:creator>
  <cp:keywords/>
  <dc:description/>
  <cp:lastModifiedBy>Brettin, Thomas S.</cp:lastModifiedBy>
  <cp:revision>1</cp:revision>
  <dcterms:created xsi:type="dcterms:W3CDTF">2026-05-08T15:17:00Z</dcterms:created>
  <dcterms:modified xsi:type="dcterms:W3CDTF">2026-05-08T15:22:00Z</dcterms:modified>
</cp:coreProperties>
</file>