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val="false"/>
          <w:bCs w:val="false"/>
        </w:rPr>
        <w:t xml:space="preserve">ParcelCare — Team Workflow</w:t>
      </w:r>
    </w:p>
    <w:p>
      <w:pPr>
        <w:spacing w:after="140" w:line="300"/>
      </w:pPr>
      <w:r>
        <w:rPr>
          <w:b w:val="false"/>
          <w:bCs w:val="false"/>
        </w:rPr>
        <w:t xml:space="preserve">Date: 22 October 2026</w:t>
      </w:r>
    </w:p>
    <w:p>
      <w:pPr>
        <w:spacing w:after="140" w:line="300"/>
      </w:pPr>
      <w:r>
        <w:rPr>
          <w:b w:val="false"/>
          <w:bCs w:val="false"/>
        </w:rPr>
        <w:t xml:space="preserve">Source of truth: https://github.com/AI-Ocean-UXMM-2026/Team-8</w:t>
      </w:r>
    </w:p>
    <w:p>
      <w:pPr>
        <w:spacing w:after="140" w:line="300"/>
      </w:pPr>
      <w:r>
        <w:rPr>
          <w:b w:val="false"/>
          <w:bCs w:val="false"/>
        </w:rPr>
        <w:t xml:space="preserve">This document describes the agreed end-to-end workflow for the team. It is not confirmation that every feature is implemented or tested in production. Verify implementation status separately against the code, tests and deployment.</w:t>
      </w:r>
    </w:p>
    <w:p>
      <w:pPr>
        <w:pStyle w:val="Heading1"/>
        <w:keepNext/>
        <w:spacing w:after="160" w:before="300"/>
      </w:pPr>
      <w:r>
        <w:rPr>
          <w:b w:val="false"/>
          <w:bCs w:val="false"/>
        </w:rPr>
        <w:t xml:space="preserve">1. Roles and Responsibilities</w:t>
      </w:r>
    </w:p>
    <w:p>
      <w:pPr>
        <w:pStyle w:val="ListParagraph"/>
        <w:numPr>
          <w:ilvl w:val="0"/>
          <w:numId w:val="2"/>
        </w:numPr>
        <w:spacing w:after="120" w:line="300"/>
      </w:pPr>
      <w:r>
        <w:rPr>
          <w:b/>
          <w:bCs/>
        </w:rPr>
        <w:t xml:space="preserve">SME owner:</w:t>
      </w:r>
      <w:r>
        <w:rPr>
          <w:b w:val="false"/>
          <w:bCs w:val="false"/>
        </w:rPr>
        <w:t xml:space="preserve"> Submit warehouse requests, view their own stock and shipments, report issues, and approve decisions when required.</w:t>
      </w:r>
    </w:p>
    <w:p>
      <w:pPr>
        <w:pStyle w:val="ListParagraph"/>
        <w:numPr>
          <w:ilvl w:val="0"/>
          <w:numId w:val="2"/>
        </w:numPr>
        <w:spacing w:after="120" w:line="300"/>
      </w:pPr>
      <w:r>
        <w:rPr>
          <w:b/>
          <w:bCs/>
        </w:rPr>
        <w:t xml:space="preserve">Warehouse staff:</w:t>
      </w:r>
      <w:r>
        <w:rPr>
          <w:b w:val="false"/>
          <w:bCs w:val="false"/>
        </w:rPr>
        <w:t xml:space="preserve"> Receive goods, verify stock, prepare dispatch, investigate exceptions, and propose resolutions.</w:t>
      </w:r>
    </w:p>
    <w:p>
      <w:pPr>
        <w:pStyle w:val="ListParagraph"/>
        <w:numPr>
          <w:ilvl w:val="0"/>
          <w:numId w:val="2"/>
        </w:numPr>
        <w:spacing w:after="120" w:line="300"/>
      </w:pPr>
      <w:r>
        <w:rPr>
          <w:b/>
          <w:bCs/>
        </w:rPr>
        <w:t xml:space="preserve">Warehouse manager:</w:t>
      </w:r>
      <w:r>
        <w:rPr>
          <w:b w:val="false"/>
          <w:bCs w:val="false"/>
        </w:rPr>
        <w:t xml:space="preserve"> Review escalated cases, record reasons for priority changes, and authorize actions requiring manager approval.</w:t>
      </w:r>
    </w:p>
    <w:p>
      <w:pPr>
        <w:pStyle w:val="ListParagraph"/>
        <w:numPr>
          <w:ilvl w:val="0"/>
          <w:numId w:val="2"/>
        </w:numPr>
        <w:spacing w:after="120" w:line="300"/>
      </w:pPr>
      <w:r>
        <w:rPr>
          <w:b/>
          <w:bCs/>
        </w:rPr>
        <w:t xml:space="preserve">Courier:</w:t>
      </w:r>
      <w:r>
        <w:rPr>
          <w:b w:val="false"/>
          <w:bCs w:val="false"/>
        </w:rPr>
        <w:t xml:space="preserve"> Accept assigned deliveries, verify pickup, plan routes, share GPS with consent, and submit delivery evidence.</w:t>
      </w:r>
    </w:p>
    <w:p>
      <w:pPr>
        <w:pStyle w:val="Heading1"/>
        <w:keepNext/>
        <w:spacing w:after="160" w:before="300"/>
      </w:pPr>
      <w:r>
        <w:rPr>
          <w:b w:val="false"/>
          <w:bCs w:val="false"/>
        </w:rPr>
        <w:t xml:space="preserve">2. Inbound Receiving</w:t>
      </w:r>
    </w:p>
    <w:p>
      <w:pPr>
        <w:spacing w:after="140" w:line="300"/>
      </w:pPr>
      <w:r>
        <w:rPr>
          <w:b/>
          <w:bCs/>
        </w:rPr>
        <w:t xml:space="preserve">SME request → Expected shipment → Warehouse receiving → Stock update</w:t>
      </w:r>
    </w:p>
    <w:p>
      <w:pPr>
        <w:spacing w:after="140" w:line="300"/>
      </w:pPr>
      <w:r>
        <w:rPr>
          <w:b w:val="false"/>
          <w:bCs w:val="false"/>
        </w:rPr>
        <w:t xml:space="preserve">1. Check the expected quantity and shipment status.</w:t>
      </w:r>
    </w:p>
    <w:p>
      <w:pPr>
        <w:spacing w:after="140" w:line="300"/>
      </w:pPr>
      <w:r>
        <w:rPr>
          <w:b w:val="false"/>
          <w:bCs w:val="false"/>
        </w:rPr>
        <w:t xml:space="preserve">2. Enter received and damaged quantities. Damaged units are included in the received quantity.</w:t>
      </w:r>
    </w:p>
    <w:p>
      <w:pPr>
        <w:spacing w:after="140" w:line="300"/>
      </w:pPr>
      <w:r>
        <w:rPr>
          <w:b w:val="false"/>
          <w:bCs w:val="false"/>
        </w:rPr>
        <w:t xml:space="preserve">3. Calculate Good condition = Received − Damaged and Remaining = Expected − Received.</w:t>
      </w:r>
    </w:p>
    <w:p>
      <w:pPr>
        <w:spacing w:after="140" w:line="300"/>
      </w:pPr>
      <w:r>
        <w:rPr>
          <w:b w:val="false"/>
          <w:bCs w:val="false"/>
        </w:rPr>
        <w:t xml:space="preserve">4. Reject blank, negative or fractional quantities, received quantities above expected, and damaged quantities above received.</w:t>
      </w:r>
    </w:p>
    <w:p>
      <w:pPr>
        <w:spacing w:after="140" w:line="300"/>
      </w:pPr>
      <w:r>
        <w:rPr>
          <w:b w:val="false"/>
          <w:bCs w:val="false"/>
        </w:rPr>
        <w:t xml:space="preserve">5. Confirm evidence checks. Keep the read-only verified state separate from interactive confirmation checkboxes.</w:t>
      </w:r>
    </w:p>
    <w:p>
      <w:pPr>
        <w:spacing w:after="140" w:line="300"/>
      </w:pPr>
      <w:r>
        <w:rPr>
          <w:b w:val="false"/>
          <w:bCs w:val="false"/>
        </w:rPr>
        <w:t xml:space="preserve">6. Review the receipt summary. Save a partial receipt or finalize after confirmation. Explain irreversible consequences before finalization.</w:t>
      </w:r>
    </w:p>
    <w:p>
      <w:pPr>
        <w:spacing w:after="140" w:line="300"/>
      </w:pPr>
      <w:r>
        <w:rPr>
          <w:b w:val="false"/>
          <w:bCs w:val="false"/>
        </w:rPr>
        <w:t xml:space="preserve">7. Update stock and the verified timeline. Keep damaged stock held for review separate from available stock.</w:t>
      </w:r>
    </w:p>
    <w:p>
      <w:pPr>
        <w:spacing w:after="140" w:line="300"/>
      </w:pPr>
      <w:r>
        <w:rPr>
          <w:b w:val="false"/>
          <w:bCs w:val="false"/>
        </w:rPr>
        <w:t xml:space="preserve">8. Create or match related damage/shortage cases according to business rules. Do not treat an unfinished partial receipt as a final shortage.</w:t>
      </w:r>
    </w:p>
    <w:p>
      <w:pPr>
        <w:pStyle w:val="Heading1"/>
        <w:keepNext/>
        <w:spacing w:after="160" w:before="300"/>
      </w:pPr>
      <w:r>
        <w:rPr>
          <w:b w:val="false"/>
          <w:bCs w:val="false"/>
        </w:rPr>
        <w:t xml:space="preserve">3. Outbound Delivery</w:t>
      </w:r>
    </w:p>
    <w:p>
      <w:pPr>
        <w:spacing w:after="140" w:line="300"/>
      </w:pPr>
      <w:r>
        <w:rPr>
          <w:b/>
          <w:bCs/>
        </w:rPr>
        <w:t xml:space="preserve">SME order/request → Warehouse review → Picking → Packing → Ready → Courier assignment → Pickup verification → Dispatch → In transit → Delivery proof → Required confirmation</w:t>
      </w:r>
    </w:p>
    <w:p>
      <w:pPr>
        <w:pStyle w:val="ListParagraph"/>
        <w:numPr>
          <w:ilvl w:val="0"/>
          <w:numId w:val="2"/>
        </w:numPr>
        <w:spacing w:after="120" w:line="300"/>
      </w:pPr>
      <w:r>
        <w:rPr>
          <w:b w:val="false"/>
          <w:bCs w:val="false"/>
        </w:rPr>
        <w:t xml:space="preserve">Warehouse staff check stock and delivery information before preparation.</w:t>
      </w:r>
    </w:p>
    <w:p>
      <w:pPr>
        <w:pStyle w:val="ListParagraph"/>
        <w:numPr>
          <w:ilvl w:val="0"/>
          <w:numId w:val="2"/>
        </w:numPr>
        <w:spacing w:after="120" w:line="300"/>
      </w:pPr>
      <w:r>
        <w:rPr>
          <w:b w:val="false"/>
          <w:bCs w:val="false"/>
        </w:rPr>
        <w:t xml:space="preserve">The courier accepts only deliveries assigned to them.</w:t>
      </w:r>
    </w:p>
    <w:p>
      <w:pPr>
        <w:pStyle w:val="ListParagraph"/>
        <w:numPr>
          <w:ilvl w:val="0"/>
          <w:numId w:val="2"/>
        </w:numPr>
        <w:spacing w:after="120" w:line="300"/>
      </w:pPr>
      <w:r>
        <w:rPr>
          <w:b w:val="false"/>
          <w:bCs w:val="false"/>
        </w:rPr>
        <w:t xml:space="preserve">Responsible users verify and record physical pickup and dispatch.</w:t>
      </w:r>
    </w:p>
    <w:p>
      <w:pPr>
        <w:pStyle w:val="ListParagraph"/>
        <w:numPr>
          <w:ilvl w:val="0"/>
          <w:numId w:val="2"/>
        </w:numPr>
        <w:spacing w:after="120" w:line="300"/>
      </w:pPr>
      <w:r>
        <w:rPr>
          <w:b w:val="false"/>
          <w:bCs w:val="false"/>
        </w:rPr>
        <w:t xml:space="preserve">The courier submits proof of delivery. Proof submission and final workflow confirmation are separate steps.</w:t>
      </w:r>
    </w:p>
    <w:p>
      <w:pPr>
        <w:pStyle w:val="ListParagraph"/>
        <w:numPr>
          <w:ilvl w:val="0"/>
          <w:numId w:val="2"/>
        </w:numPr>
        <w:spacing w:after="120" w:line="300"/>
      </w:pPr>
      <w:r>
        <w:rPr>
          <w:b w:val="false"/>
          <w:bCs w:val="false"/>
        </w:rPr>
        <w:t xml:space="preserve">For third-party couriers, record handover details, courier name, waybill and external tracking reference. Do not present third-party shipments as having ParcelCare in-house GPS.</w:t>
      </w:r>
    </w:p>
    <w:p>
      <w:pPr>
        <w:pStyle w:val="Heading1"/>
        <w:keepNext/>
        <w:spacing w:after="160" w:before="300"/>
      </w:pPr>
      <w:r>
        <w:rPr>
          <w:b w:val="false"/>
          <w:bCs w:val="false"/>
        </w:rPr>
        <w:t xml:space="preserve">4. GPS Tracking and Route Planning</w:t>
      </w:r>
    </w:p>
    <w:p>
      <w:pPr>
        <w:spacing w:after="140" w:line="300"/>
      </w:pPr>
      <w:r>
        <w:rPr>
          <w:b w:val="false"/>
          <w:bCs w:val="false"/>
        </w:rPr>
        <w:t xml:space="preserve">1. The courier checks the recipient address and destination pin.</w:t>
      </w:r>
    </w:p>
    <w:p>
      <w:pPr>
        <w:spacing w:after="140" w:line="300"/>
      </w:pPr>
      <w:r>
        <w:rPr>
          <w:b w:val="false"/>
          <w:bCs w:val="false"/>
        </w:rPr>
        <w:t xml:space="preserve">2. After consenting to send the GPS origin and destination to the provider, the courier selects Calculate driving route.</w:t>
      </w:r>
    </w:p>
    <w:p>
      <w:pPr>
        <w:spacing w:after="140" w:line="300"/>
      </w:pPr>
      <w:r>
        <w:rPr>
          <w:b w:val="false"/>
          <w:bCs w:val="false"/>
        </w:rPr>
        <w:t xml:space="preserve">3. Save the openrouteservice route plan against the shipment. A courier-selected destination is not a verified shipment address.</w:t>
      </w:r>
    </w:p>
    <w:p>
      <w:pPr>
        <w:spacing w:after="140" w:line="300"/>
      </w:pPr>
      <w:r>
        <w:rPr>
          <w:b w:val="false"/>
          <w:bCs w:val="false"/>
        </w:rPr>
        <w:t xml:space="preserve">4. After verified pickup, the courier gives location-sharing consent and selects Start sharing.</w:t>
      </w:r>
    </w:p>
    <w:p>
      <w:pPr>
        <w:spacing w:after="140" w:line="300"/>
      </w:pPr>
      <w:r>
        <w:rPr>
          <w:b w:val="false"/>
          <w:bCs w:val="false"/>
        </w:rPr>
        <w:t xml:space="preserve">5. Warehouse staff can view eligible shipments belonging to their warehouse.</w:t>
      </w:r>
    </w:p>
    <w:p>
      <w:pPr>
        <w:spacing w:after="140" w:line="300"/>
      </w:pPr>
      <w:r>
        <w:rPr>
          <w:b w:val="false"/>
          <w:bCs w:val="false"/>
        </w:rPr>
        <w:t xml:space="preserve">6. SME owners can view only shipments belonging to their account.</w:t>
      </w:r>
    </w:p>
    <w:p>
      <w:pPr>
        <w:spacing w:after="140" w:line="300"/>
      </w:pPr>
      <w:r>
        <w:rPr>
          <w:b w:val="false"/>
          <w:bCs w:val="false"/>
        </w:rPr>
        <w:t xml:space="preserve">7. Display last-updated time, accuracy and stale-location indicators. Route duration is not live traffic information or a guaranteed ETA.</w:t>
      </w:r>
    </w:p>
    <w:p>
      <w:pPr>
        <w:spacing w:after="140" w:line="300"/>
      </w:pPr>
      <w:r>
        <w:rPr>
          <w:b w:val="false"/>
          <w:bCs w:val="false"/>
        </w:rPr>
        <w:t xml:space="preserve">8. When sharing stops, the eligible session ends or the delivery becomes terminal, hide the shared route/location according to access rules.</w:t>
      </w:r>
    </w:p>
    <w:p>
      <w:pPr>
        <w:spacing w:after="140" w:line="300"/>
      </w:pPr>
      <w:r>
        <w:rPr>
          <w:b w:val="false"/>
          <w:bCs w:val="false"/>
        </w:rPr>
        <w:t xml:space="preserve">GPS capture is foreground-only. Leaving the courier page or going offline stops capture. Route plans currently expire after 24 hours. Real-phone verification requires an accepted, picked-up assignment and the rider’s location permission.</w:t>
      </w:r>
    </w:p>
    <w:p>
      <w:pPr>
        <w:spacing w:after="140" w:line="300"/>
      </w:pPr>
      <w:r>
        <w:rPr>
          <w:b/>
          <w:bCs/>
        </w:rPr>
        <w:t xml:space="preserve">Demo:</w:t>
      </w:r>
      <w:r>
        <w:rPr>
          <w:b w:val="false"/>
          <w:bCs w:val="false"/>
        </w:rPr>
        <w:t xml:space="preserve"> PC-OUT-0003 uses an illustrative route and simulated movement. It must be clearly identified as a simulation, not live GPS or road directions.</w:t>
      </w:r>
    </w:p>
    <w:p>
      <w:pPr>
        <w:pStyle w:val="Heading1"/>
        <w:keepNext/>
        <w:spacing w:after="160" w:before="300"/>
      </w:pPr>
      <w:r>
        <w:rPr>
          <w:b w:val="false"/>
          <w:bCs w:val="false"/>
        </w:rPr>
        <w:t xml:space="preserve">5. Exception Handling</w:t>
      </w:r>
    </w:p>
    <w:p>
      <w:pPr>
        <w:spacing w:after="140" w:line="300"/>
      </w:pPr>
      <w:r>
        <w:rPr>
          <w:b/>
          <w:bCs/>
        </w:rPr>
        <w:t xml:space="preserve">Report issue → Match shipment and issue → Classify priority/SLA risk → Investigate → Propose resolution → Obtain required approval → Execute authorized action → SME confirmation → Close</w:t>
      </w:r>
    </w:p>
    <w:p>
      <w:pPr>
        <w:spacing w:after="140" w:line="300"/>
      </w:pPr>
      <w:r>
        <w:rPr>
          <w:b w:val="false"/>
          <w:bCs w:val="false"/>
        </w:rPr>
        <w:t xml:space="preserve">1. The SME or an authorized operational workflow submits the issue, shipment reference and evidence.</w:t>
      </w:r>
    </w:p>
    <w:p>
      <w:pPr>
        <w:spacing w:after="140" w:line="300"/>
      </w:pPr>
      <w:r>
        <w:rPr>
          <w:b w:val="false"/>
          <w:bCs w:val="false"/>
        </w:rPr>
        <w:t xml:space="preserve">2. Check for an existing case for the same shipment and issue; create a new case or match the existing one.</w:t>
      </w:r>
    </w:p>
    <w:p>
      <w:pPr>
        <w:spacing w:after="140" w:line="300"/>
      </w:pPr>
      <w:r>
        <w:rPr>
          <w:b w:val="false"/>
          <w:bCs w:val="false"/>
        </w:rPr>
        <w:t xml:space="preserve">3. Classify priority using approved business rules. If required data is missing, show priority pending or review required.</w:t>
      </w:r>
    </w:p>
    <w:p>
      <w:pPr>
        <w:spacing w:after="140" w:line="300"/>
      </w:pPr>
      <w:r>
        <w:rPr>
          <w:b w:val="false"/>
          <w:bCs w:val="false"/>
        </w:rPr>
        <w:t xml:space="preserve">4. Warehouse staff review evidence and request further information when needed.</w:t>
      </w:r>
    </w:p>
    <w:p>
      <w:pPr>
        <w:spacing w:after="140" w:line="300"/>
      </w:pPr>
      <w:r>
        <w:rPr>
          <w:b w:val="false"/>
          <w:bCs w:val="false"/>
        </w:rPr>
        <w:t xml:space="preserve">5. Propose a resolution and determine whether manager or SME approval is required.</w:t>
      </w:r>
    </w:p>
    <w:p>
      <w:pPr>
        <w:spacing w:after="140" w:line="300"/>
      </w:pPr>
      <w:r>
        <w:rPr>
          <w:b w:val="false"/>
          <w:bCs w:val="false"/>
        </w:rPr>
        <w:t xml:space="preserve">6. Execute only authorized actions and record verified outcomes in the timeline.</w:t>
      </w:r>
    </w:p>
    <w:p>
      <w:pPr>
        <w:spacing w:after="140" w:line="300"/>
      </w:pPr>
      <w:r>
        <w:rPr>
          <w:b w:val="false"/>
          <w:bCs w:val="false"/>
        </w:rPr>
        <w:t xml:space="preserve">7. Close the case only after SME resolution confirmation. If unresolved, return it for further investigation.</w:t>
      </w:r>
    </w:p>
    <w:p>
      <w:pPr>
        <w:pStyle w:val="Heading1"/>
        <w:keepNext/>
        <w:spacing w:after="160" w:before="300"/>
      </w:pPr>
      <w:r>
        <w:rPr>
          <w:b w:val="false"/>
          <w:bCs w:val="false"/>
        </w:rPr>
        <w:t xml:space="preserve">6. AI Maker–Checker — Intended Workflow</w:t>
      </w:r>
    </w:p>
    <w:p>
      <w:pPr>
        <w:pStyle w:val="ListParagraph"/>
        <w:numPr>
          <w:ilvl w:val="0"/>
          <w:numId w:val="2"/>
        </w:numPr>
        <w:spacing w:after="120" w:line="300"/>
      </w:pPr>
      <w:r>
        <w:rPr>
          <w:b/>
          <w:bCs/>
        </w:rPr>
        <w:t xml:space="preserve">AI Maker:</w:t>
      </w:r>
      <w:r>
        <w:rPr>
          <w:b w:val="false"/>
          <w:bCs w:val="false"/>
        </w:rPr>
        <w:t xml:space="preserve"> Investigate available evidence and propose classification, priority and actions.</w:t>
      </w:r>
    </w:p>
    <w:p>
      <w:pPr>
        <w:pStyle w:val="ListParagraph"/>
        <w:numPr>
          <w:ilvl w:val="0"/>
          <w:numId w:val="2"/>
        </w:numPr>
        <w:spacing w:after="120" w:line="300"/>
      </w:pPr>
      <w:r>
        <w:rPr>
          <w:b/>
          <w:bCs/>
        </w:rPr>
        <w:t xml:space="preserve">AI Checker:</w:t>
      </w:r>
      <w:r>
        <w:rPr>
          <w:b w:val="false"/>
          <w:bCs w:val="false"/>
        </w:rPr>
        <w:t xml:space="preserve"> Independently review the evidence, classification, priority and proposed actions.</w:t>
      </w:r>
    </w:p>
    <w:p>
      <w:pPr>
        <w:pStyle w:val="ListParagraph"/>
        <w:numPr>
          <w:ilvl w:val="0"/>
          <w:numId w:val="2"/>
        </w:numPr>
        <w:spacing w:after="120" w:line="300"/>
      </w:pPr>
      <w:r>
        <w:rPr>
          <w:b w:val="false"/>
          <w:bCs w:val="false"/>
        </w:rPr>
        <w:t xml:space="preserve">Failed checks block execution and route the case to staff or manager review.</w:t>
      </w:r>
    </w:p>
    <w:p>
      <w:pPr>
        <w:pStyle w:val="ListParagraph"/>
        <w:numPr>
          <w:ilvl w:val="0"/>
          <w:numId w:val="2"/>
        </w:numPr>
        <w:spacing w:after="120" w:line="300"/>
      </w:pPr>
      <w:r>
        <w:rPr>
          <w:b w:val="false"/>
          <w:bCs w:val="false"/>
        </w:rPr>
        <w:t xml:space="preserve">Missing or insufficient evidence triggers an information request.</w:t>
      </w:r>
    </w:p>
    <w:p>
      <w:pPr>
        <w:pStyle w:val="ListParagraph"/>
        <w:numPr>
          <w:ilvl w:val="0"/>
          <w:numId w:val="2"/>
        </w:numPr>
        <w:spacing w:after="120" w:line="300"/>
      </w:pPr>
      <w:r>
        <w:rPr>
          <w:b w:val="false"/>
          <w:bCs w:val="false"/>
        </w:rPr>
        <w:t xml:space="preserve">AI may execute only policy-authorized actions. It must not automatically verify physical receipt, pickup, delivery proof or GPS consent.</w:t>
      </w:r>
    </w:p>
    <w:p>
      <w:pPr>
        <w:pStyle w:val="Heading1"/>
        <w:keepNext/>
        <w:spacing w:after="160" w:before="300"/>
      </w:pPr>
      <w:r>
        <w:rPr>
          <w:b w:val="false"/>
          <w:bCs w:val="false"/>
        </w:rPr>
        <w:t xml:space="preserve">7. Approvals and Case Closure</w:t>
      </w:r>
    </w:p>
    <w:p>
      <w:pPr>
        <w:spacing w:after="140" w:line="300"/>
      </w:pPr>
      <w:r>
        <w:rPr>
          <w:b/>
          <w:bCs/>
        </w:rPr>
        <w:t xml:space="preserve">SME approval is required for:</w:t>
      </w:r>
    </w:p>
    <w:p>
      <w:pPr>
        <w:pStyle w:val="ListParagraph"/>
        <w:numPr>
          <w:ilvl w:val="0"/>
          <w:numId w:val="2"/>
        </w:numPr>
        <w:spacing w:after="120" w:line="300"/>
      </w:pPr>
      <w:r>
        <w:rPr>
          <w:b w:val="false"/>
          <w:bCs w:val="false"/>
        </w:rPr>
        <w:t xml:space="preserve">Returns.</w:t>
      </w:r>
    </w:p>
    <w:p>
      <w:pPr>
        <w:pStyle w:val="ListParagraph"/>
        <w:numPr>
          <w:ilvl w:val="0"/>
          <w:numId w:val="2"/>
        </w:numPr>
        <w:spacing w:after="120" w:line="300"/>
      </w:pPr>
      <w:r>
        <w:rPr>
          <w:b w:val="false"/>
          <w:bCs w:val="false"/>
        </w:rPr>
        <w:t xml:space="preserve">Disposal.</w:t>
      </w:r>
    </w:p>
    <w:p>
      <w:pPr>
        <w:pStyle w:val="ListParagraph"/>
        <w:numPr>
          <w:ilvl w:val="0"/>
          <w:numId w:val="2"/>
        </w:numPr>
        <w:spacing w:after="120" w:line="300"/>
      </w:pPr>
      <w:r>
        <w:rPr>
          <w:b w:val="false"/>
          <w:bCs w:val="false"/>
        </w:rPr>
        <w:t xml:space="preserve">Partial shipment.</w:t>
      </w:r>
    </w:p>
    <w:p>
      <w:pPr>
        <w:pStyle w:val="ListParagraph"/>
        <w:numPr>
          <w:ilvl w:val="0"/>
          <w:numId w:val="2"/>
        </w:numPr>
        <w:spacing w:after="120" w:line="300"/>
      </w:pPr>
      <w:r>
        <w:rPr>
          <w:b w:val="false"/>
          <w:bCs w:val="false"/>
        </w:rPr>
        <w:t xml:space="preserve">Additional charges.</w:t>
      </w:r>
    </w:p>
    <w:p>
      <w:pPr>
        <w:spacing w:after="140" w:line="300"/>
      </w:pPr>
      <w:r>
        <w:rPr>
          <w:b w:val="false"/>
          <w:bCs w:val="false"/>
        </w:rPr>
        <w:t xml:space="preserve">Routine investigation does not require SME approval. Warehouse staff may propose a resolution, but the case closes only after SME resolution confirmation. Manager approval does not replace SME approval or SME closure confirmation.</w:t>
      </w:r>
    </w:p>
    <w:p>
      <w:pPr>
        <w:pStyle w:val="Heading1"/>
        <w:keepNext/>
        <w:spacing w:after="160" w:before="300"/>
      </w:pPr>
      <w:r>
        <w:rPr>
          <w:b w:val="false"/>
          <w:bCs w:val="false"/>
        </w:rPr>
        <w:t xml:space="preserve">8. Priority, Review, Case Status and SLA</w:t>
      </w:r>
    </w:p>
    <w:p>
      <w:pPr>
        <w:pStyle w:val="ListParagraph"/>
        <w:numPr>
          <w:ilvl w:val="0"/>
          <w:numId w:val="2"/>
        </w:numPr>
        <w:spacing w:after="120" w:line="300"/>
      </w:pPr>
      <w:r>
        <w:rPr>
          <w:b/>
          <w:bCs/>
        </w:rPr>
        <w:t xml:space="preserve">Priority:</w:t>
      </w:r>
      <w:r>
        <w:rPr>
          <w:b w:val="false"/>
          <w:bCs w:val="false"/>
        </w:rPr>
        <w:t xml:space="preserve"> How urgent is the case?</w:t>
      </w:r>
    </w:p>
    <w:p>
      <w:pPr>
        <w:pStyle w:val="ListParagraph"/>
        <w:numPr>
          <w:ilvl w:val="0"/>
          <w:numId w:val="2"/>
        </w:numPr>
        <w:spacing w:after="120" w:line="300"/>
      </w:pPr>
      <w:r>
        <w:rPr>
          <w:b/>
          <w:bCs/>
        </w:rPr>
        <w:t xml:space="preserve">Review status:</w:t>
      </w:r>
      <w:r>
        <w:rPr>
          <w:b w:val="false"/>
          <w:bCs w:val="false"/>
        </w:rPr>
        <w:t xml:space="preserve"> Who is reviewing the case, and where is the review process?</w:t>
      </w:r>
    </w:p>
    <w:p>
      <w:pPr>
        <w:pStyle w:val="ListParagraph"/>
        <w:numPr>
          <w:ilvl w:val="0"/>
          <w:numId w:val="2"/>
        </w:numPr>
        <w:spacing w:after="120" w:line="300"/>
      </w:pPr>
      <w:r>
        <w:rPr>
          <w:b/>
          <w:bCs/>
        </w:rPr>
        <w:t xml:space="preserve">Case status:</w:t>
      </w:r>
      <w:r>
        <w:rPr>
          <w:b w:val="false"/>
          <w:bCs w:val="false"/>
        </w:rPr>
        <w:t xml:space="preserve"> What is the current resolution state?</w:t>
      </w:r>
    </w:p>
    <w:p>
      <w:pPr>
        <w:pStyle w:val="ListParagraph"/>
        <w:numPr>
          <w:ilvl w:val="0"/>
          <w:numId w:val="2"/>
        </w:numPr>
        <w:spacing w:after="120" w:line="300"/>
      </w:pPr>
      <w:r>
        <w:rPr>
          <w:b/>
          <w:bCs/>
        </w:rPr>
        <w:t xml:space="preserve">Escalation flag:</w:t>
      </w:r>
      <w:r>
        <w:rPr>
          <w:b w:val="false"/>
          <w:bCs w:val="false"/>
        </w:rPr>
        <w:t xml:space="preserve"> Does the case require higher-level attention? Keep this independent of priority.</w:t>
      </w:r>
    </w:p>
    <w:p>
      <w:pPr>
        <w:pStyle w:val="ListParagraph"/>
        <w:numPr>
          <w:ilvl w:val="0"/>
          <w:numId w:val="2"/>
        </w:numPr>
        <w:spacing w:after="120" w:line="300"/>
      </w:pPr>
      <w:r>
        <w:rPr>
          <w:b/>
          <w:bCs/>
        </w:rPr>
        <w:t xml:space="preserve">SLA risk:</w:t>
      </w:r>
      <w:r>
        <w:rPr>
          <w:b w:val="false"/>
          <w:bCs w:val="false"/>
        </w:rPr>
        <w:t xml:space="preserve"> Show approaching first-response/resolution deadlines and overdue states according to the applicable policy.</w:t>
      </w:r>
    </w:p>
    <w:p>
      <w:pPr>
        <w:spacing w:after="140" w:line="300"/>
      </w:pPr>
      <w:r>
        <w:rPr>
          <w:b w:val="false"/>
          <w:bCs w:val="false"/>
        </w:rPr>
        <w:t xml:space="preserve">Use the approved business rules/settings for MMK thresholds and category risks. This document does not introduce new thresholds. Verify current production coverage of SLA/risk ranking and AI integrations separately.</w:t>
      </w:r>
    </w:p>
    <w:p>
      <w:pPr>
        <w:pStyle w:val="Heading1"/>
        <w:keepNext/>
        <w:spacing w:after="160" w:before="300"/>
      </w:pPr>
      <w:r>
        <w:rPr>
          <w:b w:val="false"/>
          <w:bCs w:val="false"/>
        </w:rPr>
        <w:t xml:space="preserve">9. Dashboard Navigation and UI Rules</w:t>
      </w:r>
    </w:p>
    <w:p>
      <w:pPr>
        <w:pStyle w:val="ListParagraph"/>
        <w:numPr>
          <w:ilvl w:val="0"/>
          <w:numId w:val="2"/>
        </w:numPr>
        <w:spacing w:after="120" w:line="300"/>
      </w:pPr>
      <w:r>
        <w:rPr>
          <w:b/>
          <w:bCs/>
        </w:rPr>
        <w:t xml:space="preserve">Warehouse:</w:t>
      </w:r>
      <w:r>
        <w:rPr>
          <w:b w:val="false"/>
          <w:bCs w:val="false"/>
        </w:rPr>
        <w:t xml:space="preserve"> Overview, Inventory, Shipments, GPS tracking and Open cases.</w:t>
      </w:r>
    </w:p>
    <w:p>
      <w:pPr>
        <w:pStyle w:val="ListParagraph"/>
        <w:numPr>
          <w:ilvl w:val="0"/>
          <w:numId w:val="2"/>
        </w:numPr>
        <w:spacing w:after="120" w:line="300"/>
      </w:pPr>
      <w:r>
        <w:rPr>
          <w:b/>
          <w:bCs/>
        </w:rPr>
        <w:t xml:space="preserve">SME:</w:t>
      </w:r>
      <w:r>
        <w:rPr>
          <w:b w:val="false"/>
          <w:bCs w:val="false"/>
        </w:rPr>
        <w:t xml:space="preserve"> Own stock, shipment and case overview; tracking for their own shipments; and relevant decisions.</w:t>
      </w:r>
    </w:p>
    <w:p>
      <w:pPr>
        <w:pStyle w:val="ListParagraph"/>
        <w:numPr>
          <w:ilvl w:val="0"/>
          <w:numId w:val="2"/>
        </w:numPr>
        <w:spacing w:after="120" w:line="300"/>
      </w:pPr>
      <w:r>
        <w:rPr>
          <w:b/>
          <w:bCs/>
        </w:rPr>
        <w:t xml:space="preserve">Manager:</w:t>
      </w:r>
      <w:r>
        <w:rPr>
          <w:b w:val="false"/>
          <w:bCs w:val="false"/>
        </w:rPr>
        <w:t xml:space="preserve"> Review queue, escalated reports and priority settings.</w:t>
      </w:r>
    </w:p>
    <w:p>
      <w:pPr>
        <w:pStyle w:val="ListParagraph"/>
        <w:numPr>
          <w:ilvl w:val="0"/>
          <w:numId w:val="2"/>
        </w:numPr>
        <w:spacing w:after="120" w:line="300"/>
      </w:pPr>
      <w:r>
        <w:rPr>
          <w:b/>
          <w:bCs/>
        </w:rPr>
        <w:t xml:space="preserve">Courier:</w:t>
      </w:r>
      <w:r>
        <w:rPr>
          <w:b w:val="false"/>
          <w:bCs w:val="false"/>
        </w:rPr>
        <w:t xml:space="preserve"> Assigned deliveries, Route &amp; GPS, pickup/delivery evidence and issue reporting.</w:t>
      </w:r>
    </w:p>
    <w:p>
      <w:pPr>
        <w:spacing w:after="140" w:line="300"/>
      </w:pPr>
      <w:r>
        <w:rPr>
          <w:b w:val="false"/>
          <w:bCs w:val="false"/>
        </w:rPr>
        <w:t xml:space="preserve">Use the Warehouse dashboard as the UI consistency reference. Keep the logo, sidebar width, spacing, typography, cards, tables, hover states and focus states consistent. Preserve cyan as primary and yellow as secondary. Users can select English-only or Myanmar-only mode.</w:t>
      </w:r>
    </w:p>
    <w:p>
      <w:pPr>
        <w:spacing w:after="140" w:line="300"/>
      </w:pPr>
      <w:r>
        <w:rPr>
          <w:b w:val="false"/>
          <w:bCs w:val="false"/>
        </w:rPr>
        <w:t xml:space="preserve">Provide clear loading, empty, error, retry and uncertain-submission states. Never imply GPS, evidence, approval or success exists without supporting data.</w:t>
      </w:r>
    </w:p>
    <w:p>
      <w:pPr>
        <w:pStyle w:val="Heading1"/>
        <w:keepNext/>
        <w:spacing w:after="160" w:before="300"/>
      </w:pPr>
      <w:r>
        <w:rPr>
          <w:b w:val="false"/>
          <w:bCs w:val="false"/>
        </w:rPr>
        <w:t xml:space="preserve">10. Demo Links</w:t>
      </w:r>
    </w:p>
    <w:p>
      <w:pPr>
        <w:spacing w:after="140" w:line="300"/>
      </w:pPr>
      <w:r>
        <w:rPr>
          <w:b w:val="false"/>
          <w:bCs w:val="false"/>
        </w:rPr>
        <w:t xml:space="preserve">Warehouse: https://parcelcare-team8.onrender.com/demo/warehouse</w:t>
      </w:r>
    </w:p>
    <w:p>
      <w:pPr>
        <w:spacing w:after="140" w:line="300"/>
      </w:pPr>
      <w:r>
        <w:rPr>
          <w:b w:val="false"/>
          <w:bCs w:val="false"/>
        </w:rPr>
        <w:t xml:space="preserve">SME: https://parcelcare-team8.onrender.com/demo/sme</w:t>
      </w:r>
    </w:p>
    <w:p>
      <w:pPr>
        <w:spacing w:after="140" w:line="300"/>
      </w:pPr>
      <w:r>
        <w:rPr>
          <w:b w:val="false"/>
          <w:bCs w:val="false"/>
        </w:rPr>
        <w:t xml:space="preserve">Manager: https://parcelcare-team8.onrender.com/demo/manager</w:t>
      </w:r>
    </w:p>
    <w:p>
      <w:pPr>
        <w:spacing w:after="140" w:line="300"/>
      </w:pPr>
      <w:r>
        <w:rPr>
          <w:b w:val="false"/>
          <w:bCs w:val="false"/>
        </w:rPr>
        <w:t xml:space="preserve">Courier: https://parcelcare-team8.onrender.com/demo/courier</w:t>
      </w:r>
    </w:p>
    <w:p>
      <w:pPr>
        <w:spacing w:after="140" w:line="300"/>
      </w:pPr>
      <w:r>
        <w:rPr>
          <w:b w:val="false"/>
          <w:bCs w:val="false"/>
        </w:rPr>
        <w:t xml:space="preserve">Demo workspaces do not replace production identity, stock or physical-delivery verification.</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ParcelCare  |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87E8B"/>
      <w:sz w:val="36"/>
      <w:szCs w:val="36"/>
    </w:rPr>
  </w:style>
  <w:style w:type="paragraph" w:styleId="Heading1">
    <w:name w:val="heading 1"/>
    <w:basedOn w:val="Normal"/>
    <w:next w:val="Normal"/>
    <w:qFormat/>
    <w:rPr>
      <w:rFonts w:ascii="Arial" w:cs="Arial" w:eastAsia="Arial" w:hAnsi="Arial"/>
      <w:b/>
      <w:bCs/>
      <w:color w:val="087E8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ParcelCare Team Workflow — English</dc:title>
  <dc:creator>ParcelCare Team</dc:creator>
  <cp:lastModifiedBy>Un-named</cp:lastModifiedBy>
  <cp:revision>1</cp:revision>
  <dcterms:created xsi:type="dcterms:W3CDTF">2026-10-22T08:40:49.940Z</dcterms:created>
  <dcterms:modified xsi:type="dcterms:W3CDTF">2026-10-22T08:40:49.940Z</dcterms:modified>
</cp:coreProperties>
</file>

<file path=docProps/custom.xml><?xml version="1.0" encoding="utf-8"?>
<Properties xmlns="http://schemas.openxmlformats.org/officeDocument/2006/custom-properties" xmlns:vt="http://schemas.openxmlformats.org/officeDocument/2006/docPropsVTypes"/>
</file>