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06F" w:rsidRDefault="005A206F">
      <w:pPr>
        <w:widowControl w:val="0"/>
        <w:spacing w:line="276" w:lineRule="auto"/>
        <w:rPr>
          <w:sz w:val="22"/>
          <w:szCs w:val="22"/>
        </w:rPr>
      </w:pPr>
    </w:p>
    <w:tbl>
      <w:tblPr>
        <w:tblStyle w:val="a"/>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9"/>
        <w:gridCol w:w="422"/>
        <w:gridCol w:w="424"/>
        <w:gridCol w:w="423"/>
        <w:gridCol w:w="423"/>
        <w:gridCol w:w="423"/>
        <w:gridCol w:w="548"/>
        <w:gridCol w:w="519"/>
        <w:gridCol w:w="4772"/>
      </w:tblGrid>
      <w:tr w:rsidR="005A206F">
        <w:tc>
          <w:tcPr>
            <w:tcW w:w="1969" w:type="dxa"/>
            <w:tcBorders>
              <w:top w:val="nil"/>
              <w:left w:val="nil"/>
              <w:bottom w:val="nil"/>
              <w:right w:val="nil"/>
            </w:tcBorders>
            <w:vAlign w:val="bottom"/>
          </w:tcPr>
          <w:p w:rsidR="005A206F" w:rsidRDefault="003E5D94">
            <w:pPr>
              <w:spacing w:before="240"/>
              <w:rPr>
                <w:rFonts w:ascii="Century Gothic" w:eastAsia="Century Gothic" w:hAnsi="Century Gothic" w:cs="Century Gothic"/>
                <w:b/>
                <w:sz w:val="33"/>
                <w:szCs w:val="33"/>
                <w:vertAlign w:val="subscript"/>
              </w:rPr>
            </w:pPr>
            <w:r>
              <w:rPr>
                <w:rFonts w:ascii="Century Gothic" w:eastAsia="Century Gothic" w:hAnsi="Century Gothic" w:cs="Century Gothic"/>
                <w:b/>
                <w:sz w:val="33"/>
                <w:szCs w:val="33"/>
                <w:vertAlign w:val="subscript"/>
              </w:rPr>
              <w:t>Group Number:</w:t>
            </w:r>
          </w:p>
        </w:tc>
        <w:tc>
          <w:tcPr>
            <w:tcW w:w="3182" w:type="dxa"/>
            <w:gridSpan w:val="7"/>
            <w:tcBorders>
              <w:top w:val="nil"/>
              <w:left w:val="nil"/>
              <w:right w:val="nil"/>
            </w:tcBorders>
          </w:tcPr>
          <w:p w:rsidR="005A206F" w:rsidRDefault="003E5D94">
            <w:pPr>
              <w:spacing w:before="240"/>
              <w:rPr>
                <w:rFonts w:ascii="Century Gothic" w:eastAsia="Century Gothic" w:hAnsi="Century Gothic" w:cs="Century Gothic"/>
                <w:sz w:val="20"/>
                <w:szCs w:val="20"/>
              </w:rPr>
            </w:pPr>
            <w:proofErr w:type="gramStart"/>
            <w:r>
              <w:rPr>
                <w:rFonts w:ascii="Century Gothic" w:eastAsia="Century Gothic" w:hAnsi="Century Gothic" w:cs="Century Gothic"/>
                <w:sz w:val="20"/>
                <w:szCs w:val="20"/>
              </w:rPr>
              <w:t>1003463995  &amp;</w:t>
            </w:r>
            <w:proofErr w:type="gramEnd"/>
            <w:r>
              <w:rPr>
                <w:rFonts w:ascii="Century Gothic" w:eastAsia="Century Gothic" w:hAnsi="Century Gothic" w:cs="Century Gothic"/>
                <w:sz w:val="20"/>
                <w:szCs w:val="20"/>
              </w:rPr>
              <w:t xml:space="preserve">  </w:t>
            </w:r>
            <w:r>
              <w:t xml:space="preserve"> </w:t>
            </w:r>
            <w:r>
              <w:rPr>
                <w:rFonts w:ascii="Century Gothic" w:eastAsia="Century Gothic" w:hAnsi="Century Gothic" w:cs="Century Gothic"/>
                <w:sz w:val="20"/>
                <w:szCs w:val="20"/>
              </w:rPr>
              <w:t>1003248844</w:t>
            </w:r>
          </w:p>
        </w:tc>
        <w:tc>
          <w:tcPr>
            <w:tcW w:w="4772" w:type="dxa"/>
            <w:vMerge w:val="restart"/>
            <w:tcBorders>
              <w:top w:val="nil"/>
              <w:left w:val="nil"/>
              <w:bottom w:val="nil"/>
              <w:right w:val="nil"/>
            </w:tcBorders>
          </w:tcPr>
          <w:p w:rsidR="005A206F" w:rsidRDefault="003E5D94">
            <w:pPr>
              <w:ind w:left="270"/>
              <w:rPr>
                <w:rFonts w:ascii="Century Gothic" w:eastAsia="Century Gothic" w:hAnsi="Century Gothic" w:cs="Century Gothic"/>
                <w:sz w:val="20"/>
                <w:szCs w:val="20"/>
                <w:u w:val="single"/>
              </w:rPr>
            </w:pPr>
            <w:r>
              <w:rPr>
                <w:rFonts w:ascii="Century Gothic" w:eastAsia="Century Gothic" w:hAnsi="Century Gothic" w:cs="Century Gothic"/>
                <w:sz w:val="20"/>
                <w:szCs w:val="20"/>
                <w:u w:val="single"/>
              </w:rPr>
              <w:t xml:space="preserve">In submitting this </w:t>
            </w:r>
            <w:r>
              <w:rPr>
                <w:rFonts w:ascii="Century Gothic" w:eastAsia="Century Gothic" w:hAnsi="Century Gothic" w:cs="Century Gothic"/>
                <w:b/>
                <w:sz w:val="20"/>
                <w:szCs w:val="20"/>
                <w:u w:val="single"/>
              </w:rPr>
              <w:t xml:space="preserve">group </w:t>
            </w:r>
            <w:r>
              <w:rPr>
                <w:rFonts w:ascii="Century Gothic" w:eastAsia="Century Gothic" w:hAnsi="Century Gothic" w:cs="Century Gothic"/>
                <w:sz w:val="20"/>
                <w:szCs w:val="20"/>
                <w:u w:val="single"/>
              </w:rPr>
              <w:t>work for grading, we</w:t>
            </w:r>
          </w:p>
          <w:p w:rsidR="005A206F" w:rsidRDefault="003E5D94">
            <w:pPr>
              <w:ind w:left="270"/>
              <w:rPr>
                <w:rFonts w:ascii="Century Gothic" w:eastAsia="Century Gothic" w:hAnsi="Century Gothic" w:cs="Century Gothic"/>
                <w:sz w:val="20"/>
                <w:szCs w:val="20"/>
                <w:u w:val="single"/>
              </w:rPr>
            </w:pPr>
            <w:r>
              <w:rPr>
                <w:rFonts w:ascii="Century Gothic" w:eastAsia="Century Gothic" w:hAnsi="Century Gothic" w:cs="Century Gothic"/>
                <w:sz w:val="20"/>
                <w:szCs w:val="20"/>
                <w:u w:val="single"/>
              </w:rPr>
              <w:t>confirm:</w:t>
            </w:r>
            <w:r>
              <w:rPr>
                <w:rFonts w:ascii="Century Gothic" w:eastAsia="Century Gothic" w:hAnsi="Century Gothic" w:cs="Century Gothic"/>
                <w:sz w:val="20"/>
                <w:szCs w:val="20"/>
                <w:u w:val="single"/>
              </w:rPr>
              <w:br/>
            </w:r>
          </w:p>
          <w:p w:rsidR="005A206F" w:rsidRDefault="003E5D94">
            <w:pPr>
              <w:ind w:left="270"/>
              <w:rPr>
                <w:rFonts w:ascii="Century Gothic" w:eastAsia="Century Gothic" w:hAnsi="Century Gothic" w:cs="Century Gothic"/>
                <w:sz w:val="20"/>
                <w:szCs w:val="20"/>
              </w:rPr>
            </w:pPr>
            <w:r>
              <w:rPr>
                <w:rFonts w:ascii="Noto Sans Symbols" w:eastAsia="Noto Sans Symbols" w:hAnsi="Noto Sans Symbols" w:cs="Noto Sans Symbols"/>
                <w:sz w:val="20"/>
                <w:szCs w:val="20"/>
              </w:rPr>
              <w:t xml:space="preserve">• </w:t>
            </w:r>
            <w:r>
              <w:rPr>
                <w:rFonts w:ascii="Century Gothic" w:eastAsia="Century Gothic" w:hAnsi="Century Gothic" w:cs="Century Gothic"/>
                <w:sz w:val="20"/>
                <w:szCs w:val="20"/>
              </w:rPr>
              <w:t xml:space="preserve">That the work is original, and due credit is given to others where appropriate. </w:t>
            </w:r>
          </w:p>
          <w:p w:rsidR="005A206F" w:rsidRDefault="003E5D94">
            <w:pPr>
              <w:ind w:left="270"/>
              <w:rPr>
                <w:rFonts w:ascii="Century Gothic" w:eastAsia="Century Gothic" w:hAnsi="Century Gothic" w:cs="Century Gothic"/>
                <w:sz w:val="20"/>
                <w:szCs w:val="20"/>
              </w:rPr>
            </w:pPr>
            <w:r>
              <w:rPr>
                <w:rFonts w:ascii="Noto Sans Symbols" w:eastAsia="Noto Sans Symbols" w:hAnsi="Noto Sans Symbols" w:cs="Noto Sans Symbols"/>
                <w:sz w:val="20"/>
                <w:szCs w:val="20"/>
              </w:rPr>
              <w:t xml:space="preserve">• </w:t>
            </w:r>
            <w:r>
              <w:rPr>
                <w:rFonts w:ascii="Century Gothic" w:eastAsia="Century Gothic" w:hAnsi="Century Gothic" w:cs="Century Gothic"/>
                <w:sz w:val="20"/>
                <w:szCs w:val="20"/>
              </w:rPr>
              <w:t>That all members have contributed substantially and proportionally to each group assignment.</w:t>
            </w:r>
          </w:p>
          <w:p w:rsidR="005A206F" w:rsidRDefault="003E5D94">
            <w:pPr>
              <w:ind w:left="270"/>
              <w:rPr>
                <w:rFonts w:ascii="Century Gothic" w:eastAsia="Century Gothic" w:hAnsi="Century Gothic" w:cs="Century Gothic"/>
                <w:sz w:val="20"/>
                <w:szCs w:val="20"/>
              </w:rPr>
            </w:pPr>
            <w:r>
              <w:rPr>
                <w:rFonts w:ascii="Noto Sans Symbols" w:eastAsia="Noto Sans Symbols" w:hAnsi="Noto Sans Symbols" w:cs="Noto Sans Symbols"/>
                <w:sz w:val="20"/>
                <w:szCs w:val="20"/>
              </w:rPr>
              <w:t xml:space="preserve">• </w:t>
            </w:r>
            <w:r>
              <w:rPr>
                <w:rFonts w:ascii="Century Gothic" w:eastAsia="Century Gothic" w:hAnsi="Century Gothic" w:cs="Century Gothic"/>
                <w:sz w:val="20"/>
                <w:szCs w:val="20"/>
              </w:rPr>
              <w:t>That all members have sufficient familiarity with the entire contents of the group assignment so as to be able to sign off on them as original work.</w:t>
            </w:r>
          </w:p>
          <w:p w:rsidR="005A206F" w:rsidRDefault="003E5D94">
            <w:pPr>
              <w:ind w:left="270"/>
              <w:rPr>
                <w:rFonts w:ascii="Century Gothic" w:eastAsia="Century Gothic" w:hAnsi="Century Gothic" w:cs="Century Gothic"/>
                <w:sz w:val="20"/>
                <w:szCs w:val="20"/>
              </w:rPr>
            </w:pPr>
            <w:r>
              <w:rPr>
                <w:rFonts w:ascii="Noto Sans Symbols" w:eastAsia="Noto Sans Symbols" w:hAnsi="Noto Sans Symbols" w:cs="Noto Sans Symbols"/>
                <w:sz w:val="20"/>
                <w:szCs w:val="20"/>
              </w:rPr>
              <w:t xml:space="preserve">• </w:t>
            </w:r>
            <w:r>
              <w:rPr>
                <w:rFonts w:ascii="Century Gothic" w:eastAsia="Century Gothic" w:hAnsi="Century Gothic" w:cs="Century Gothic"/>
                <w:sz w:val="20"/>
                <w:szCs w:val="20"/>
              </w:rPr>
              <w:t>Acceptance</w:t>
            </w:r>
            <w:r>
              <w:rPr>
                <w:rFonts w:ascii="Century Gothic" w:eastAsia="Century Gothic" w:hAnsi="Century Gothic" w:cs="Century Gothic"/>
                <w:sz w:val="20"/>
                <w:szCs w:val="20"/>
              </w:rPr>
              <w:t xml:space="preserve"> and acknowledgement that</w:t>
            </w:r>
          </w:p>
          <w:p w:rsidR="005A206F" w:rsidRDefault="003E5D94">
            <w:pPr>
              <w:ind w:lef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assignments found to be plagiarized in any way will be subject to sanctions under the University’s Code of </w:t>
            </w:r>
            <w:proofErr w:type="spellStart"/>
            <w:r>
              <w:rPr>
                <w:rFonts w:ascii="Century Gothic" w:eastAsia="Century Gothic" w:hAnsi="Century Gothic" w:cs="Century Gothic"/>
                <w:sz w:val="20"/>
                <w:szCs w:val="20"/>
              </w:rPr>
              <w:t>Behaviour</w:t>
            </w:r>
            <w:proofErr w:type="spellEnd"/>
            <w:r>
              <w:rPr>
                <w:rFonts w:ascii="Century Gothic" w:eastAsia="Century Gothic" w:hAnsi="Century Gothic" w:cs="Century Gothic"/>
                <w:sz w:val="20"/>
                <w:szCs w:val="20"/>
              </w:rPr>
              <w:t xml:space="preserve"> on Academic Matters.</w:t>
            </w:r>
          </w:p>
          <w:p w:rsidR="005A206F" w:rsidRDefault="005A206F">
            <w:pPr>
              <w:rPr>
                <w:rFonts w:ascii="Century Gothic" w:eastAsia="Century Gothic" w:hAnsi="Century Gothic" w:cs="Century Gothic"/>
                <w:sz w:val="20"/>
                <w:szCs w:val="20"/>
              </w:rPr>
            </w:pPr>
          </w:p>
        </w:tc>
      </w:tr>
      <w:tr w:rsidR="005A206F">
        <w:tc>
          <w:tcPr>
            <w:tcW w:w="1969" w:type="dxa"/>
            <w:tcBorders>
              <w:top w:val="nil"/>
              <w:left w:val="nil"/>
              <w:bottom w:val="nil"/>
              <w:right w:val="nil"/>
            </w:tcBorders>
            <w:vAlign w:val="bottom"/>
          </w:tcPr>
          <w:p w:rsidR="005A206F" w:rsidRDefault="003E5D94">
            <w:pPr>
              <w:spacing w:before="240"/>
              <w:rPr>
                <w:rFonts w:ascii="Century Gothic" w:eastAsia="Century Gothic" w:hAnsi="Century Gothic" w:cs="Century Gothic"/>
                <w:b/>
                <w:sz w:val="33"/>
                <w:szCs w:val="33"/>
                <w:vertAlign w:val="subscript"/>
              </w:rPr>
            </w:pPr>
            <w:r>
              <w:rPr>
                <w:rFonts w:ascii="Century Gothic" w:eastAsia="Century Gothic" w:hAnsi="Century Gothic" w:cs="Century Gothic"/>
                <w:b/>
                <w:sz w:val="33"/>
                <w:szCs w:val="33"/>
                <w:vertAlign w:val="subscript"/>
              </w:rPr>
              <w:t>Assignment Title:</w:t>
            </w:r>
          </w:p>
        </w:tc>
        <w:tc>
          <w:tcPr>
            <w:tcW w:w="3182" w:type="dxa"/>
            <w:gridSpan w:val="7"/>
            <w:tcBorders>
              <w:left w:val="nil"/>
              <w:bottom w:val="single" w:sz="4" w:space="0" w:color="000000"/>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Assignment 1</w:t>
            </w:r>
          </w:p>
        </w:tc>
        <w:tc>
          <w:tcPr>
            <w:tcW w:w="4772" w:type="dxa"/>
            <w:vMerge/>
            <w:tcBorders>
              <w:top w:val="nil"/>
              <w:left w:val="nil"/>
              <w:bottom w:val="nil"/>
              <w:right w:val="nil"/>
            </w:tcBorders>
          </w:tcPr>
          <w:p w:rsidR="005A206F" w:rsidRDefault="005A206F">
            <w:pPr>
              <w:rPr>
                <w:rFonts w:ascii="Century Gothic" w:eastAsia="Century Gothic" w:hAnsi="Century Gothic" w:cs="Century Gothic"/>
                <w:sz w:val="20"/>
                <w:szCs w:val="20"/>
              </w:rPr>
            </w:pPr>
          </w:p>
        </w:tc>
      </w:tr>
      <w:tr w:rsidR="005A206F">
        <w:tc>
          <w:tcPr>
            <w:tcW w:w="1969" w:type="dxa"/>
            <w:tcBorders>
              <w:top w:val="nil"/>
              <w:left w:val="nil"/>
              <w:bottom w:val="nil"/>
              <w:right w:val="nil"/>
            </w:tcBorders>
            <w:vAlign w:val="bottom"/>
          </w:tcPr>
          <w:p w:rsidR="005A206F" w:rsidRDefault="003E5D94">
            <w:pPr>
              <w:spacing w:before="240"/>
              <w:rPr>
                <w:rFonts w:ascii="Century Gothic" w:eastAsia="Century Gothic" w:hAnsi="Century Gothic" w:cs="Century Gothic"/>
                <w:b/>
                <w:sz w:val="33"/>
                <w:szCs w:val="33"/>
                <w:vertAlign w:val="subscript"/>
              </w:rPr>
            </w:pPr>
            <w:r>
              <w:rPr>
                <w:rFonts w:ascii="Century Gothic" w:eastAsia="Century Gothic" w:hAnsi="Century Gothic" w:cs="Century Gothic"/>
                <w:b/>
                <w:sz w:val="33"/>
                <w:szCs w:val="33"/>
                <w:vertAlign w:val="subscript"/>
              </w:rPr>
              <w:t>Course Code:</w:t>
            </w:r>
          </w:p>
        </w:tc>
        <w:tc>
          <w:tcPr>
            <w:tcW w:w="3182" w:type="dxa"/>
            <w:gridSpan w:val="7"/>
            <w:tcBorders>
              <w:left w:val="nil"/>
              <w:bottom w:val="single" w:sz="4" w:space="0" w:color="000000"/>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RSM 2307HS.2018-0103</w:t>
            </w:r>
          </w:p>
        </w:tc>
        <w:tc>
          <w:tcPr>
            <w:tcW w:w="4772" w:type="dxa"/>
            <w:vMerge/>
            <w:tcBorders>
              <w:top w:val="nil"/>
              <w:left w:val="nil"/>
              <w:bottom w:val="nil"/>
              <w:right w:val="nil"/>
            </w:tcBorders>
          </w:tcPr>
          <w:p w:rsidR="005A206F" w:rsidRDefault="005A206F">
            <w:pPr>
              <w:rPr>
                <w:rFonts w:ascii="Century Gothic" w:eastAsia="Century Gothic" w:hAnsi="Century Gothic" w:cs="Century Gothic"/>
                <w:sz w:val="20"/>
                <w:szCs w:val="20"/>
              </w:rPr>
            </w:pPr>
          </w:p>
        </w:tc>
      </w:tr>
      <w:tr w:rsidR="005A206F">
        <w:tc>
          <w:tcPr>
            <w:tcW w:w="1969" w:type="dxa"/>
            <w:tcBorders>
              <w:top w:val="nil"/>
              <w:left w:val="nil"/>
              <w:bottom w:val="nil"/>
              <w:right w:val="nil"/>
            </w:tcBorders>
            <w:vAlign w:val="bottom"/>
          </w:tcPr>
          <w:p w:rsidR="005A206F" w:rsidRDefault="003E5D94">
            <w:pPr>
              <w:spacing w:before="240"/>
              <w:rPr>
                <w:rFonts w:ascii="Century Gothic" w:eastAsia="Century Gothic" w:hAnsi="Century Gothic" w:cs="Century Gothic"/>
                <w:b/>
                <w:sz w:val="33"/>
                <w:szCs w:val="33"/>
                <w:vertAlign w:val="subscript"/>
              </w:rPr>
            </w:pPr>
            <w:r>
              <w:rPr>
                <w:rFonts w:ascii="Century Gothic" w:eastAsia="Century Gothic" w:hAnsi="Century Gothic" w:cs="Century Gothic"/>
                <w:b/>
                <w:sz w:val="33"/>
                <w:szCs w:val="33"/>
                <w:vertAlign w:val="subscript"/>
              </w:rPr>
              <w:t>Section #:</w:t>
            </w:r>
          </w:p>
        </w:tc>
        <w:tc>
          <w:tcPr>
            <w:tcW w:w="422"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424"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423"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423"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423"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5</w:t>
            </w:r>
          </w:p>
        </w:tc>
        <w:tc>
          <w:tcPr>
            <w:tcW w:w="548"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AM</w:t>
            </w:r>
          </w:p>
        </w:tc>
        <w:tc>
          <w:tcPr>
            <w:tcW w:w="519" w:type="dxa"/>
            <w:tcBorders>
              <w:top w:val="single" w:sz="4" w:space="0" w:color="000000"/>
              <w:left w:val="nil"/>
              <w:bottom w:val="nil"/>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PM</w:t>
            </w:r>
          </w:p>
        </w:tc>
        <w:tc>
          <w:tcPr>
            <w:tcW w:w="4772" w:type="dxa"/>
            <w:vMerge/>
            <w:tcBorders>
              <w:top w:val="nil"/>
              <w:left w:val="nil"/>
              <w:bottom w:val="nil"/>
              <w:right w:val="nil"/>
            </w:tcBorders>
          </w:tcPr>
          <w:p w:rsidR="005A206F" w:rsidRDefault="005A206F">
            <w:pPr>
              <w:rPr>
                <w:rFonts w:ascii="Century Gothic" w:eastAsia="Century Gothic" w:hAnsi="Century Gothic" w:cs="Century Gothic"/>
                <w:sz w:val="20"/>
                <w:szCs w:val="20"/>
              </w:rPr>
            </w:pPr>
          </w:p>
        </w:tc>
      </w:tr>
      <w:tr w:rsidR="005A206F">
        <w:tc>
          <w:tcPr>
            <w:tcW w:w="1969" w:type="dxa"/>
            <w:tcBorders>
              <w:top w:val="nil"/>
              <w:left w:val="nil"/>
              <w:bottom w:val="nil"/>
              <w:right w:val="nil"/>
            </w:tcBorders>
            <w:vAlign w:val="bottom"/>
          </w:tcPr>
          <w:p w:rsidR="005A206F" w:rsidRDefault="003E5D94">
            <w:pPr>
              <w:spacing w:before="240"/>
              <w:rPr>
                <w:rFonts w:ascii="Century Gothic" w:eastAsia="Century Gothic" w:hAnsi="Century Gothic" w:cs="Century Gothic"/>
                <w:b/>
                <w:sz w:val="33"/>
                <w:szCs w:val="33"/>
                <w:vertAlign w:val="subscript"/>
              </w:rPr>
            </w:pPr>
            <w:r>
              <w:rPr>
                <w:rFonts w:ascii="Century Gothic" w:eastAsia="Century Gothic" w:hAnsi="Century Gothic" w:cs="Century Gothic"/>
                <w:b/>
                <w:sz w:val="33"/>
                <w:szCs w:val="33"/>
                <w:vertAlign w:val="subscript"/>
              </w:rPr>
              <w:t>Course Name:</w:t>
            </w:r>
          </w:p>
        </w:tc>
        <w:tc>
          <w:tcPr>
            <w:tcW w:w="3182" w:type="dxa"/>
            <w:gridSpan w:val="7"/>
            <w:tcBorders>
              <w:top w:val="nil"/>
              <w:left w:val="nil"/>
              <w:bottom w:val="single" w:sz="4" w:space="0" w:color="000000"/>
              <w:right w:val="nil"/>
            </w:tcBorders>
          </w:tcPr>
          <w:p w:rsidR="005A206F" w:rsidRDefault="003E5D94">
            <w:pPr>
              <w:spacing w:before="240"/>
              <w:rPr>
                <w:rFonts w:ascii="Century Gothic" w:eastAsia="Century Gothic" w:hAnsi="Century Gothic" w:cs="Century Gothic"/>
                <w:sz w:val="20"/>
                <w:szCs w:val="20"/>
              </w:rPr>
            </w:pPr>
            <w:r>
              <w:rPr>
                <w:rFonts w:ascii="Century Gothic" w:eastAsia="Century Gothic" w:hAnsi="Century Gothic" w:cs="Century Gothic"/>
                <w:sz w:val="20"/>
                <w:szCs w:val="20"/>
              </w:rPr>
              <w:t>Advanced Derivatives</w:t>
            </w:r>
          </w:p>
        </w:tc>
        <w:tc>
          <w:tcPr>
            <w:tcW w:w="4772" w:type="dxa"/>
            <w:vMerge/>
            <w:tcBorders>
              <w:top w:val="nil"/>
              <w:left w:val="nil"/>
              <w:bottom w:val="nil"/>
              <w:right w:val="nil"/>
            </w:tcBorders>
          </w:tcPr>
          <w:p w:rsidR="005A206F" w:rsidRDefault="005A206F">
            <w:pPr>
              <w:rPr>
                <w:rFonts w:ascii="Century Gothic" w:eastAsia="Century Gothic" w:hAnsi="Century Gothic" w:cs="Century Gothic"/>
                <w:sz w:val="20"/>
                <w:szCs w:val="20"/>
              </w:rPr>
            </w:pPr>
          </w:p>
        </w:tc>
      </w:tr>
      <w:tr w:rsidR="005A206F">
        <w:tc>
          <w:tcPr>
            <w:tcW w:w="1969" w:type="dxa"/>
            <w:tcBorders>
              <w:top w:val="nil"/>
              <w:left w:val="nil"/>
              <w:bottom w:val="nil"/>
              <w:right w:val="nil"/>
            </w:tcBorders>
            <w:vAlign w:val="bottom"/>
          </w:tcPr>
          <w:p w:rsidR="005A206F" w:rsidRDefault="003E5D94">
            <w:pPr>
              <w:spacing w:before="240"/>
              <w:rPr>
                <w:rFonts w:ascii="Century Gothic" w:eastAsia="Century Gothic" w:hAnsi="Century Gothic" w:cs="Century Gothic"/>
                <w:b/>
                <w:sz w:val="33"/>
                <w:szCs w:val="33"/>
                <w:vertAlign w:val="subscript"/>
              </w:rPr>
            </w:pPr>
            <w:r>
              <w:rPr>
                <w:rFonts w:ascii="Century Gothic" w:eastAsia="Century Gothic" w:hAnsi="Century Gothic" w:cs="Century Gothic"/>
                <w:b/>
                <w:sz w:val="33"/>
                <w:szCs w:val="33"/>
                <w:vertAlign w:val="subscript"/>
              </w:rPr>
              <w:t>Professor Name:</w:t>
            </w:r>
          </w:p>
        </w:tc>
        <w:tc>
          <w:tcPr>
            <w:tcW w:w="3182" w:type="dxa"/>
            <w:gridSpan w:val="7"/>
            <w:tcBorders>
              <w:top w:val="single" w:sz="4" w:space="0" w:color="000000"/>
              <w:left w:val="nil"/>
              <w:bottom w:val="single" w:sz="4" w:space="0" w:color="000000"/>
              <w:right w:val="nil"/>
            </w:tcBorders>
          </w:tcPr>
          <w:p w:rsidR="005A206F" w:rsidRDefault="003E5D94">
            <w:pPr>
              <w:spacing w:before="24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Redouane</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Elkamhi</w:t>
            </w:r>
            <w:proofErr w:type="spellEnd"/>
          </w:p>
        </w:tc>
        <w:tc>
          <w:tcPr>
            <w:tcW w:w="4772" w:type="dxa"/>
            <w:vMerge/>
            <w:tcBorders>
              <w:top w:val="nil"/>
              <w:left w:val="nil"/>
              <w:bottom w:val="nil"/>
              <w:right w:val="nil"/>
            </w:tcBorders>
          </w:tcPr>
          <w:p w:rsidR="005A206F" w:rsidRDefault="005A206F">
            <w:pPr>
              <w:rPr>
                <w:rFonts w:ascii="Century Gothic" w:eastAsia="Century Gothic" w:hAnsi="Century Gothic" w:cs="Century Gothic"/>
                <w:sz w:val="20"/>
                <w:szCs w:val="20"/>
              </w:rPr>
            </w:pPr>
          </w:p>
        </w:tc>
      </w:tr>
      <w:tr w:rsidR="005A206F">
        <w:tc>
          <w:tcPr>
            <w:tcW w:w="1969" w:type="dxa"/>
            <w:tcBorders>
              <w:top w:val="nil"/>
              <w:left w:val="nil"/>
              <w:bottom w:val="nil"/>
              <w:right w:val="nil"/>
            </w:tcBorders>
          </w:tcPr>
          <w:p w:rsidR="005A206F" w:rsidRDefault="005A206F">
            <w:pPr>
              <w:rPr>
                <w:rFonts w:ascii="Century Gothic" w:eastAsia="Century Gothic" w:hAnsi="Century Gothic" w:cs="Century Gothic"/>
                <w:sz w:val="20"/>
                <w:szCs w:val="20"/>
              </w:rPr>
            </w:pPr>
          </w:p>
        </w:tc>
        <w:tc>
          <w:tcPr>
            <w:tcW w:w="3182" w:type="dxa"/>
            <w:gridSpan w:val="7"/>
            <w:tcBorders>
              <w:top w:val="single" w:sz="4" w:space="0" w:color="000000"/>
              <w:left w:val="nil"/>
              <w:bottom w:val="nil"/>
              <w:right w:val="nil"/>
            </w:tcBorders>
          </w:tcPr>
          <w:p w:rsidR="005A206F" w:rsidRDefault="005A206F">
            <w:pPr>
              <w:rPr>
                <w:rFonts w:ascii="Century Gothic" w:eastAsia="Century Gothic" w:hAnsi="Century Gothic" w:cs="Century Gothic"/>
                <w:sz w:val="20"/>
                <w:szCs w:val="20"/>
              </w:rPr>
            </w:pPr>
          </w:p>
        </w:tc>
        <w:tc>
          <w:tcPr>
            <w:tcW w:w="4772" w:type="dxa"/>
            <w:vMerge/>
            <w:tcBorders>
              <w:top w:val="nil"/>
              <w:left w:val="nil"/>
              <w:bottom w:val="nil"/>
              <w:right w:val="nil"/>
            </w:tcBorders>
          </w:tcPr>
          <w:p w:rsidR="005A206F" w:rsidRDefault="005A206F">
            <w:pPr>
              <w:rPr>
                <w:rFonts w:ascii="Century Gothic" w:eastAsia="Century Gothic" w:hAnsi="Century Gothic" w:cs="Century Gothic"/>
                <w:sz w:val="20"/>
                <w:szCs w:val="20"/>
              </w:rPr>
            </w:pPr>
          </w:p>
        </w:tc>
      </w:tr>
    </w:tbl>
    <w:p w:rsidR="005A206F" w:rsidRDefault="005A206F"/>
    <w:p w:rsidR="005A206F" w:rsidRDefault="005A206F"/>
    <w:p w:rsidR="005A206F" w:rsidRDefault="005A206F"/>
    <w:p w:rsidR="005A206F" w:rsidRDefault="005A206F"/>
    <w:tbl>
      <w:tblPr>
        <w:tblStyle w:val="a0"/>
        <w:tblW w:w="992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4509"/>
        <w:gridCol w:w="492"/>
        <w:gridCol w:w="4356"/>
      </w:tblGrid>
      <w:tr w:rsidR="005A206F">
        <w:tc>
          <w:tcPr>
            <w:tcW w:w="9923" w:type="dxa"/>
            <w:gridSpan w:val="4"/>
            <w:tcBorders>
              <w:top w:val="nil"/>
              <w:left w:val="nil"/>
              <w:bottom w:val="nil"/>
              <w:right w:val="nil"/>
            </w:tcBorders>
          </w:tcPr>
          <w:p w:rsidR="005A206F" w:rsidRDefault="003E5D94">
            <w:pPr>
              <w:rPr>
                <w:rFonts w:ascii="Century Gothic" w:eastAsia="Century Gothic" w:hAnsi="Century Gothic" w:cs="Century Gothic"/>
                <w:sz w:val="20"/>
                <w:szCs w:val="20"/>
              </w:rPr>
            </w:pPr>
            <w:bookmarkStart w:id="0" w:name="gjdgxs" w:colFirst="0" w:colLast="0"/>
            <w:bookmarkStart w:id="1" w:name="30j0zll" w:colFirst="0" w:colLast="0"/>
            <w:bookmarkStart w:id="2" w:name="1fob9te" w:colFirst="0" w:colLast="0"/>
            <w:bookmarkStart w:id="3" w:name="3znysh7" w:colFirst="0" w:colLast="0"/>
            <w:bookmarkStart w:id="4" w:name="2et92p0" w:colFirst="0" w:colLast="0"/>
            <w:bookmarkStart w:id="5" w:name="tyjcwt" w:colFirst="0" w:colLast="0"/>
            <w:bookmarkEnd w:id="0"/>
            <w:bookmarkEnd w:id="1"/>
            <w:bookmarkEnd w:id="2"/>
            <w:bookmarkEnd w:id="3"/>
            <w:bookmarkEnd w:id="4"/>
            <w:bookmarkEnd w:id="5"/>
            <w:r>
              <w:rPr>
                <w:rFonts w:ascii="Century Gothic" w:eastAsia="Century Gothic" w:hAnsi="Century Gothic" w:cs="Century Gothic"/>
                <w:sz w:val="20"/>
                <w:szCs w:val="20"/>
              </w:rPr>
              <w:t xml:space="preserve">Please </w:t>
            </w:r>
            <w:r>
              <w:rPr>
                <w:rFonts w:ascii="Century Gothic" w:eastAsia="Century Gothic" w:hAnsi="Century Gothic" w:cs="Century Gothic"/>
                <w:b/>
                <w:sz w:val="20"/>
                <w:szCs w:val="20"/>
              </w:rPr>
              <w:t xml:space="preserve">check the box and record your student number </w:t>
            </w:r>
            <w:r>
              <w:rPr>
                <w:rFonts w:ascii="Century Gothic" w:eastAsia="Century Gothic" w:hAnsi="Century Gothic" w:cs="Century Gothic"/>
                <w:sz w:val="20"/>
                <w:szCs w:val="20"/>
              </w:rPr>
              <w:t>below to indicate that you have read and abide by the statements above:</w:t>
            </w:r>
          </w:p>
        </w:tc>
      </w:tr>
      <w:tr w:rsidR="005A206F">
        <w:tc>
          <w:tcPr>
            <w:tcW w:w="566" w:type="dxa"/>
            <w:tcBorders>
              <w:top w:val="nil"/>
              <w:left w:val="nil"/>
              <w:bottom w:val="nil"/>
              <w:right w:val="nil"/>
            </w:tcBorders>
          </w:tcPr>
          <w:p w:rsidR="005A206F" w:rsidRDefault="005A206F"/>
        </w:tc>
        <w:tc>
          <w:tcPr>
            <w:tcW w:w="4509" w:type="dxa"/>
            <w:tcBorders>
              <w:top w:val="nil"/>
              <w:left w:val="nil"/>
              <w:bottom w:val="nil"/>
              <w:right w:val="nil"/>
            </w:tcBorders>
          </w:tcPr>
          <w:p w:rsidR="005A206F" w:rsidRDefault="005A206F"/>
        </w:tc>
        <w:tc>
          <w:tcPr>
            <w:tcW w:w="492" w:type="dxa"/>
            <w:tcBorders>
              <w:top w:val="nil"/>
              <w:left w:val="nil"/>
              <w:bottom w:val="nil"/>
              <w:right w:val="nil"/>
            </w:tcBorders>
          </w:tcPr>
          <w:p w:rsidR="005A206F" w:rsidRDefault="005A206F"/>
        </w:tc>
        <w:tc>
          <w:tcPr>
            <w:tcW w:w="4356" w:type="dxa"/>
            <w:tcBorders>
              <w:top w:val="nil"/>
              <w:left w:val="nil"/>
              <w:bottom w:val="nil"/>
              <w:right w:val="nil"/>
            </w:tcBorders>
          </w:tcPr>
          <w:p w:rsidR="005A206F" w:rsidRDefault="005A206F"/>
        </w:tc>
      </w:tr>
      <w:tr w:rsidR="005A206F">
        <w:tc>
          <w:tcPr>
            <w:tcW w:w="566" w:type="dxa"/>
            <w:tcBorders>
              <w:top w:val="nil"/>
              <w:left w:val="nil"/>
              <w:bottom w:val="nil"/>
              <w:right w:val="nil"/>
            </w:tcBorders>
          </w:tcPr>
          <w:p w:rsidR="005A206F" w:rsidRDefault="003E5D94">
            <w:r>
              <w:rPr>
                <w:highlight w:val="black"/>
              </w:rPr>
              <w:t>☐</w:t>
            </w:r>
          </w:p>
        </w:tc>
        <w:tc>
          <w:tcPr>
            <w:tcW w:w="4509" w:type="dxa"/>
            <w:tcBorders>
              <w:top w:val="nil"/>
              <w:left w:val="nil"/>
              <w:right w:val="nil"/>
            </w:tcBorders>
          </w:tcPr>
          <w:p w:rsidR="005A206F" w:rsidRDefault="003E5D94">
            <w:r>
              <w:t>1003463995</w:t>
            </w:r>
          </w:p>
        </w:tc>
        <w:tc>
          <w:tcPr>
            <w:tcW w:w="492" w:type="dxa"/>
            <w:tcBorders>
              <w:top w:val="nil"/>
              <w:left w:val="nil"/>
              <w:bottom w:val="nil"/>
              <w:right w:val="nil"/>
            </w:tcBorders>
          </w:tcPr>
          <w:p w:rsidR="005A206F" w:rsidRDefault="003E5D94">
            <w:r>
              <w:t>☐</w:t>
            </w:r>
          </w:p>
        </w:tc>
        <w:tc>
          <w:tcPr>
            <w:tcW w:w="4356" w:type="dxa"/>
            <w:tcBorders>
              <w:top w:val="nil"/>
              <w:left w:val="nil"/>
              <w:right w:val="nil"/>
            </w:tcBorders>
          </w:tcPr>
          <w:p w:rsidR="005A206F" w:rsidRDefault="005A206F"/>
        </w:tc>
      </w:tr>
      <w:tr w:rsidR="005A206F">
        <w:tc>
          <w:tcPr>
            <w:tcW w:w="566" w:type="dxa"/>
            <w:tcBorders>
              <w:top w:val="nil"/>
              <w:left w:val="nil"/>
              <w:bottom w:val="nil"/>
              <w:right w:val="nil"/>
            </w:tcBorders>
          </w:tcPr>
          <w:p w:rsidR="005A206F" w:rsidRDefault="003E5D94">
            <w:r>
              <w:rPr>
                <w:highlight w:val="black"/>
              </w:rPr>
              <w:t>☐</w:t>
            </w:r>
          </w:p>
        </w:tc>
        <w:tc>
          <w:tcPr>
            <w:tcW w:w="4509" w:type="dxa"/>
            <w:tcBorders>
              <w:left w:val="nil"/>
              <w:right w:val="nil"/>
            </w:tcBorders>
          </w:tcPr>
          <w:p w:rsidR="005A206F" w:rsidRDefault="003E5D94">
            <w:r>
              <w:t>1003248844</w:t>
            </w:r>
          </w:p>
        </w:tc>
        <w:tc>
          <w:tcPr>
            <w:tcW w:w="492" w:type="dxa"/>
            <w:tcBorders>
              <w:top w:val="nil"/>
              <w:left w:val="nil"/>
              <w:bottom w:val="nil"/>
              <w:right w:val="nil"/>
            </w:tcBorders>
          </w:tcPr>
          <w:p w:rsidR="005A206F" w:rsidRDefault="003E5D94">
            <w:r>
              <w:t>☐</w:t>
            </w:r>
          </w:p>
        </w:tc>
        <w:tc>
          <w:tcPr>
            <w:tcW w:w="4356" w:type="dxa"/>
            <w:tcBorders>
              <w:left w:val="nil"/>
              <w:right w:val="nil"/>
            </w:tcBorders>
          </w:tcPr>
          <w:p w:rsidR="005A206F" w:rsidRDefault="005A206F"/>
        </w:tc>
      </w:tr>
      <w:tr w:rsidR="005A206F">
        <w:tc>
          <w:tcPr>
            <w:tcW w:w="566" w:type="dxa"/>
            <w:tcBorders>
              <w:top w:val="nil"/>
              <w:left w:val="nil"/>
              <w:bottom w:val="nil"/>
              <w:right w:val="nil"/>
            </w:tcBorders>
          </w:tcPr>
          <w:p w:rsidR="005A206F" w:rsidRDefault="003E5D94">
            <w:r>
              <w:t>☐</w:t>
            </w:r>
          </w:p>
        </w:tc>
        <w:tc>
          <w:tcPr>
            <w:tcW w:w="4509" w:type="dxa"/>
            <w:tcBorders>
              <w:left w:val="nil"/>
              <w:right w:val="nil"/>
            </w:tcBorders>
          </w:tcPr>
          <w:p w:rsidR="005A206F" w:rsidRDefault="005A206F"/>
        </w:tc>
        <w:tc>
          <w:tcPr>
            <w:tcW w:w="492" w:type="dxa"/>
            <w:tcBorders>
              <w:top w:val="nil"/>
              <w:left w:val="nil"/>
              <w:bottom w:val="nil"/>
              <w:right w:val="nil"/>
            </w:tcBorders>
          </w:tcPr>
          <w:p w:rsidR="005A206F" w:rsidRDefault="003E5D94">
            <w:r>
              <w:t>☐</w:t>
            </w:r>
          </w:p>
        </w:tc>
        <w:tc>
          <w:tcPr>
            <w:tcW w:w="4356" w:type="dxa"/>
            <w:tcBorders>
              <w:left w:val="nil"/>
              <w:right w:val="nil"/>
            </w:tcBorders>
          </w:tcPr>
          <w:p w:rsidR="005A206F" w:rsidRDefault="005A206F"/>
        </w:tc>
      </w:tr>
    </w:tbl>
    <w:p w:rsidR="005A206F" w:rsidRDefault="005A206F"/>
    <w:p w:rsidR="005A206F" w:rsidRDefault="005A206F"/>
    <w:p w:rsidR="005A206F" w:rsidRDefault="003E5D94">
      <w:pPr>
        <w:ind w:left="-567" w:right="-858"/>
        <w:rPr>
          <w:rFonts w:ascii="Century Gothic" w:eastAsia="Century Gothic" w:hAnsi="Century Gothic" w:cs="Century Gothic"/>
          <w:b/>
          <w:sz w:val="20"/>
          <w:szCs w:val="20"/>
        </w:rPr>
      </w:pPr>
      <w:r>
        <w:rPr>
          <w:rFonts w:ascii="Century Gothic" w:eastAsia="Century Gothic" w:hAnsi="Century Gothic" w:cs="Century Gothic"/>
          <w:sz w:val="20"/>
          <w:szCs w:val="20"/>
        </w:rPr>
        <w:t xml:space="preserve">Assignments are to be submitted using Student ID Numbers </w:t>
      </w:r>
      <w:r>
        <w:rPr>
          <w:rFonts w:ascii="Century Gothic" w:eastAsia="Century Gothic" w:hAnsi="Century Gothic" w:cs="Century Gothic"/>
          <w:i/>
          <w:sz w:val="20"/>
          <w:szCs w:val="20"/>
          <w:u w:val="single"/>
        </w:rPr>
        <w:t>only</w:t>
      </w:r>
      <w:r>
        <w:rPr>
          <w:rFonts w:ascii="Century Gothic" w:eastAsia="Century Gothic" w:hAnsi="Century Gothic" w:cs="Century Gothic"/>
          <w:sz w:val="20"/>
          <w:szCs w:val="20"/>
        </w:rPr>
        <w:t xml:space="preserve">; do not include your name.  Assignments that include names or that do not have the box above checked </w:t>
      </w:r>
      <w:r>
        <w:rPr>
          <w:rFonts w:ascii="Century Gothic" w:eastAsia="Century Gothic" w:hAnsi="Century Gothic" w:cs="Century Gothic"/>
          <w:b/>
          <w:sz w:val="20"/>
          <w:szCs w:val="20"/>
        </w:rPr>
        <w:t>will not be graded.</w:t>
      </w:r>
    </w:p>
    <w:p w:rsidR="005A206F" w:rsidRDefault="005A206F">
      <w:pPr>
        <w:ind w:left="-567" w:right="-858"/>
        <w:rPr>
          <w:rFonts w:ascii="Century Gothic" w:eastAsia="Century Gothic" w:hAnsi="Century Gothic" w:cs="Century Gothic"/>
          <w:b/>
          <w:sz w:val="20"/>
          <w:szCs w:val="20"/>
        </w:rPr>
      </w:pPr>
    </w:p>
    <w:p w:rsidR="005A206F" w:rsidRDefault="003E5D94">
      <w:pPr>
        <w:ind w:left="-567" w:right="-858"/>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Please pay attention to Course Outline for specific formatting requirements set by instructors. </w:t>
      </w:r>
    </w:p>
    <w:p w:rsidR="005A206F" w:rsidRDefault="005A206F"/>
    <w:p w:rsidR="005A206F" w:rsidRDefault="005A206F"/>
    <w:p w:rsidR="005A206F" w:rsidRDefault="003E5D94">
      <w:pPr>
        <w:ind w:left="-562" w:right="-864"/>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If submitting this assignment to </w:t>
      </w:r>
      <w:proofErr w:type="spellStart"/>
      <w:r>
        <w:rPr>
          <w:rFonts w:ascii="Century Gothic" w:eastAsia="Century Gothic" w:hAnsi="Century Gothic" w:cs="Century Gothic"/>
          <w:sz w:val="20"/>
          <w:szCs w:val="20"/>
        </w:rPr>
        <w:t>eDropBox</w:t>
      </w:r>
      <w:proofErr w:type="spellEnd"/>
      <w:r>
        <w:rPr>
          <w:rFonts w:ascii="Century Gothic" w:eastAsia="Century Gothic" w:hAnsi="Century Gothic" w:cs="Century Gothic"/>
          <w:sz w:val="20"/>
          <w:szCs w:val="20"/>
        </w:rPr>
        <w:t>, please use the following “Standard File Naming Convention”:</w:t>
      </w:r>
    </w:p>
    <w:p w:rsidR="005A206F" w:rsidRDefault="005A206F">
      <w:pPr>
        <w:ind w:left="-562" w:right="-864"/>
        <w:rPr>
          <w:rFonts w:ascii="Century Gothic" w:eastAsia="Century Gothic" w:hAnsi="Century Gothic" w:cs="Century Gothic"/>
          <w:sz w:val="20"/>
          <w:szCs w:val="20"/>
        </w:rPr>
      </w:pPr>
    </w:p>
    <w:p w:rsidR="005A206F" w:rsidRDefault="003E5D94">
      <w:pPr>
        <w:ind w:left="-562" w:right="-864"/>
        <w:rPr>
          <w:rFonts w:ascii="Century Gothic" w:eastAsia="Century Gothic" w:hAnsi="Century Gothic" w:cs="Century Gothic"/>
          <w:b/>
          <w:sz w:val="20"/>
          <w:szCs w:val="20"/>
        </w:rPr>
      </w:pPr>
      <w:r>
        <w:rPr>
          <w:rFonts w:ascii="Century Gothic" w:eastAsia="Century Gothic" w:hAnsi="Century Gothic" w:cs="Century Gothic"/>
          <w:b/>
          <w:sz w:val="20"/>
          <w:szCs w:val="20"/>
          <w:highlight w:val="green"/>
        </w:rPr>
        <w:t xml:space="preserve">Full Course Code </w:t>
      </w:r>
      <w:r>
        <w:rPr>
          <w:rFonts w:ascii="Century Gothic" w:eastAsia="Century Gothic" w:hAnsi="Century Gothic" w:cs="Century Gothic"/>
          <w:b/>
          <w:i/>
          <w:sz w:val="20"/>
          <w:szCs w:val="20"/>
          <w:highlight w:val="green"/>
        </w:rPr>
        <w:t>(including Section)</w:t>
      </w:r>
      <w:r>
        <w:rPr>
          <w:rFonts w:ascii="Century Gothic" w:eastAsia="Century Gothic" w:hAnsi="Century Gothic" w:cs="Century Gothic"/>
          <w:b/>
          <w:sz w:val="20"/>
          <w:szCs w:val="20"/>
        </w:rPr>
        <w:t>–</w:t>
      </w:r>
      <w:r>
        <w:rPr>
          <w:rFonts w:ascii="Century Gothic" w:eastAsia="Century Gothic" w:hAnsi="Century Gothic" w:cs="Century Gothic"/>
          <w:b/>
          <w:sz w:val="20"/>
          <w:szCs w:val="20"/>
          <w:highlight w:val="yellow"/>
        </w:rPr>
        <w:t>Group Name or Number</w:t>
      </w:r>
      <w:r>
        <w:rPr>
          <w:rFonts w:ascii="Century Gothic" w:eastAsia="Century Gothic" w:hAnsi="Century Gothic" w:cs="Century Gothic"/>
          <w:b/>
          <w:sz w:val="20"/>
          <w:szCs w:val="20"/>
        </w:rPr>
        <w:t>–</w:t>
      </w:r>
      <w:r>
        <w:rPr>
          <w:rFonts w:ascii="Century Gothic" w:eastAsia="Century Gothic" w:hAnsi="Century Gothic" w:cs="Century Gothic"/>
          <w:b/>
          <w:sz w:val="20"/>
          <w:szCs w:val="20"/>
          <w:highlight w:val="cyan"/>
        </w:rPr>
        <w:t>Assignment Title</w:t>
      </w:r>
    </w:p>
    <w:p w:rsidR="005A206F" w:rsidRDefault="005A206F">
      <w:pPr>
        <w:ind w:left="-562" w:right="-864"/>
        <w:rPr>
          <w:rFonts w:ascii="Century Gothic" w:eastAsia="Century Gothic" w:hAnsi="Century Gothic" w:cs="Century Gothic"/>
          <w:b/>
          <w:sz w:val="20"/>
          <w:szCs w:val="20"/>
        </w:rPr>
      </w:pPr>
    </w:p>
    <w:p w:rsidR="005A206F" w:rsidRDefault="003E5D94">
      <w:pPr>
        <w:ind w:left="-562" w:right="-864"/>
      </w:pPr>
      <w:r>
        <w:rPr>
          <w:rFonts w:ascii="Century Gothic" w:eastAsia="Century Gothic" w:hAnsi="Century Gothic" w:cs="Century Gothic"/>
          <w:b/>
          <w:sz w:val="20"/>
          <w:szCs w:val="20"/>
        </w:rPr>
        <w:t>Example:</w:t>
      </w:r>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highlight w:val="green"/>
        </w:rPr>
        <w:t>RSM1234HS.2016-0101</w:t>
      </w:r>
      <w:r>
        <w:rPr>
          <w:rFonts w:ascii="Century Gothic" w:eastAsia="Century Gothic" w:hAnsi="Century Gothic" w:cs="Century Gothic"/>
          <w:sz w:val="20"/>
          <w:szCs w:val="20"/>
        </w:rPr>
        <w:t>-</w:t>
      </w:r>
      <w:r>
        <w:rPr>
          <w:rFonts w:ascii="Century Gothic" w:eastAsia="Century Gothic" w:hAnsi="Century Gothic" w:cs="Century Gothic"/>
          <w:sz w:val="20"/>
          <w:szCs w:val="20"/>
          <w:highlight w:val="yellow"/>
        </w:rPr>
        <w:t>Group1</w:t>
      </w:r>
      <w:r>
        <w:rPr>
          <w:rFonts w:ascii="Century Gothic" w:eastAsia="Century Gothic" w:hAnsi="Century Gothic" w:cs="Century Gothic"/>
          <w:sz w:val="20"/>
          <w:szCs w:val="20"/>
        </w:rPr>
        <w:t>-</w:t>
      </w:r>
      <w:r>
        <w:rPr>
          <w:rFonts w:ascii="Century Gothic" w:eastAsia="Century Gothic" w:hAnsi="Century Gothic" w:cs="Century Gothic"/>
          <w:sz w:val="20"/>
          <w:szCs w:val="20"/>
          <w:highlight w:val="cyan"/>
        </w:rPr>
        <w:t>Homework1</w:t>
      </w:r>
      <w:r>
        <w:br w:type="page"/>
      </w:r>
    </w:p>
    <w:p w:rsidR="005A206F" w:rsidRDefault="003E5D94">
      <w:pPr>
        <w:spacing w:line="480" w:lineRule="auto"/>
      </w:pPr>
      <w:r>
        <w:lastRenderedPageBreak/>
        <w:t xml:space="preserve">On this report, we outlined the general procedure used to solve all questions from the assignment. Detailed calculations for </w:t>
      </w:r>
      <w:r>
        <w:rPr>
          <w:b/>
        </w:rPr>
        <w:t xml:space="preserve">Part1 </w:t>
      </w:r>
      <w:r>
        <w:t xml:space="preserve">problems are available on the attached </w:t>
      </w:r>
      <w:r>
        <w:rPr>
          <w:b/>
        </w:rPr>
        <w:t>excel file</w:t>
      </w:r>
      <w:r>
        <w:t>. Detailed codes used to answer</w:t>
      </w:r>
      <w:r>
        <w:rPr>
          <w:b/>
        </w:rPr>
        <w:t xml:space="preserve"> Part 2</w:t>
      </w:r>
      <w:r>
        <w:t xml:space="preserve"> are available on the </w:t>
      </w:r>
      <w:r>
        <w:rPr>
          <w:b/>
        </w:rPr>
        <w:t xml:space="preserve">HTML file </w:t>
      </w:r>
      <w:r>
        <w:t xml:space="preserve">that is also attached to this report. </w:t>
      </w:r>
    </w:p>
    <w:p w:rsidR="005A206F" w:rsidRDefault="005A206F">
      <w:pPr>
        <w:spacing w:line="480" w:lineRule="auto"/>
        <w:jc w:val="center"/>
        <w:rPr>
          <w:b/>
        </w:rPr>
      </w:pPr>
    </w:p>
    <w:p w:rsidR="005A206F" w:rsidRDefault="003E5D94">
      <w:pPr>
        <w:spacing w:line="480" w:lineRule="auto"/>
        <w:jc w:val="center"/>
        <w:rPr>
          <w:b/>
        </w:rPr>
      </w:pPr>
      <w:r>
        <w:rPr>
          <w:b/>
        </w:rPr>
        <w:t>Part 1</w:t>
      </w:r>
    </w:p>
    <w:p w:rsidR="005A206F" w:rsidRDefault="003E5D94">
      <w:pPr>
        <w:spacing w:line="480" w:lineRule="auto"/>
        <w:rPr>
          <w:b/>
          <w:u w:val="single"/>
        </w:rPr>
      </w:pPr>
      <w:r>
        <w:rPr>
          <w:b/>
          <w:u w:val="single"/>
        </w:rPr>
        <w:t>Question 1 – Part 1:</w:t>
      </w:r>
    </w:p>
    <w:p w:rsidR="005A206F" w:rsidRDefault="003E5D94">
      <w:pPr>
        <w:spacing w:line="480" w:lineRule="auto"/>
      </w:pPr>
      <w:r>
        <w:t xml:space="preserve">To estimate </w:t>
      </w:r>
      <w:proofErr w:type="gramStart"/>
      <w:r>
        <w:t>volatility</w:t>
      </w:r>
      <w:proofErr w:type="gramEnd"/>
      <w:r>
        <w:t xml:space="preserve"> we simulated different time periods. Using his</w:t>
      </w:r>
      <w:r>
        <w:t>torical data, the 24 months annualized volatility is 13.8%. For 12 month and 6 months period, the annualized volatility is 10.17% and 8.06% respectively. A roll back of 3 years leads to 14.15% volatility. If we go even further back, volatility goes to 16.4</w:t>
      </w:r>
      <w:r>
        <w:t xml:space="preserve">% and 26.4% with 4 and 5 years respectively. Finally, with a 6-year, period volatility of the portfolio is 25.7%. </w:t>
      </w:r>
    </w:p>
    <w:p w:rsidR="005A206F" w:rsidRDefault="003E5D94">
      <w:pPr>
        <w:spacing w:line="480" w:lineRule="auto"/>
      </w:pPr>
      <w:r>
        <w:t>Given these, we chose a 24-month period with an annualized volatility of 13.8% combined with a sensitivity analysis (spreadsheet).</w:t>
      </w:r>
    </w:p>
    <w:p w:rsidR="005A206F" w:rsidRDefault="003E5D94">
      <w:pPr>
        <w:spacing w:line="480" w:lineRule="auto"/>
      </w:pPr>
      <w:r>
        <w:t>We are ass</w:t>
      </w:r>
      <w:r>
        <w:t xml:space="preserve">uming a dividend yield of 3.86%, interest rate of 1.5%, period to maturity of 6 years (considering that the VBA code takes on account the 12-semi-annual average date). All information used was given either by the professor or found in the TD client flyer. </w:t>
      </w:r>
      <w:r>
        <w:t xml:space="preserve">The product description tells that if the returns are negative, the holder of the note won’t incur losses. Also, that it will consider the average of returns on semi-annual intervals as the pay-off. Thus, because these assumptions slightly differ from the </w:t>
      </w:r>
      <w:r>
        <w:t xml:space="preserve">average option formulation, we ran Monte </w:t>
      </w:r>
      <w:r>
        <w:lastRenderedPageBreak/>
        <w:t>Carlo to simulate a Brownian motion over the 6-year period and averaged the returns only over the semi-annual periods. The idea was basically to check the assumption we made about the weighted average option formula</w:t>
      </w:r>
      <w:r>
        <w:t>tion.</w:t>
      </w:r>
    </w:p>
    <w:p w:rsidR="005A206F" w:rsidRDefault="003E5D94">
      <w:pPr>
        <w:spacing w:line="480" w:lineRule="auto"/>
      </w:pPr>
      <w:r>
        <w:rPr>
          <w:b/>
        </w:rPr>
        <w:t>A)</w:t>
      </w:r>
      <w:r>
        <w:t xml:space="preserve"> If use the average option VBA formula provided by the professor, we priced the option embedded in the product at $4.13. The Monte Carlo simulation results in an option price of $3.95.</w:t>
      </w:r>
    </w:p>
    <w:p w:rsidR="005A206F" w:rsidRDefault="003E5D94">
      <w:pPr>
        <w:spacing w:line="480" w:lineRule="auto"/>
        <w:rPr>
          <w:b/>
        </w:rPr>
      </w:pPr>
      <w:r>
        <w:t>The bond was priced as strip bond with an interest rate of 1.5%</w:t>
      </w:r>
      <w:r>
        <w:t>. The price of the bond is 91.39. Therefore, the final product (bond + option) is worth $95.52 (using Monte Carlo it would be worth $95.35).</w:t>
      </w:r>
    </w:p>
    <w:p w:rsidR="005A206F" w:rsidRDefault="003E5D94">
      <w:pPr>
        <w:spacing w:line="480" w:lineRule="auto"/>
      </w:pPr>
      <w:r>
        <w:rPr>
          <w:b/>
        </w:rPr>
        <w:t xml:space="preserve">B) </w:t>
      </w:r>
      <w:r>
        <w:t>The effective interest rate is 0.76%, which is the rate to which when the principal is discounted we obtained th</w:t>
      </w:r>
      <w:r>
        <w:t>e value of the note.</w:t>
      </w:r>
    </w:p>
    <w:p w:rsidR="005A206F" w:rsidRDefault="005A206F">
      <w:pPr>
        <w:spacing w:line="480" w:lineRule="auto"/>
      </w:pPr>
    </w:p>
    <w:p w:rsidR="005A206F" w:rsidRDefault="003E5D94">
      <w:pPr>
        <w:spacing w:line="480" w:lineRule="auto"/>
        <w:rPr>
          <w:b/>
          <w:u w:val="single"/>
        </w:rPr>
      </w:pPr>
      <w:r>
        <w:rPr>
          <w:b/>
          <w:u w:val="single"/>
        </w:rPr>
        <w:t>Question 2 – Part 1:</w:t>
      </w:r>
    </w:p>
    <w:p w:rsidR="005A206F" w:rsidRDefault="003E5D94">
      <w:pPr>
        <w:spacing w:line="480" w:lineRule="auto"/>
      </w:pPr>
      <w:r>
        <w:t xml:space="preserve">To replicate the pay-off of the note we need to build a portfolio with: </w:t>
      </w:r>
    </w:p>
    <w:p w:rsidR="005A206F" w:rsidRDefault="003E5D94">
      <w:pPr>
        <w:spacing w:line="480" w:lineRule="auto"/>
      </w:pPr>
      <w:r>
        <w:t>1) Long position: 3 calls at the money</w:t>
      </w:r>
    </w:p>
    <w:p w:rsidR="005A206F" w:rsidRDefault="003E5D94">
      <w:pPr>
        <w:spacing w:line="480" w:lineRule="auto"/>
      </w:pPr>
      <w:r>
        <w:t>2) Short position: 3 calls with strike price k = (1+0.4/</w:t>
      </w:r>
      <w:proofErr w:type="gramStart"/>
      <w:r>
        <w:t>3)*</w:t>
      </w:r>
      <w:proofErr w:type="gramEnd"/>
      <w:r>
        <w:t>SPX</w:t>
      </w:r>
    </w:p>
    <w:p w:rsidR="005A206F" w:rsidRDefault="003E5D94">
      <w:pPr>
        <w:spacing w:line="480" w:lineRule="auto"/>
      </w:pPr>
      <w:r>
        <w:t>3) Short position: put with strike pri</w:t>
      </w:r>
      <w:r>
        <w:t>ce k = (</w:t>
      </w:r>
      <w:proofErr w:type="gramStart"/>
      <w:r>
        <w:t>0.9)*</w:t>
      </w:r>
      <w:proofErr w:type="gramEnd"/>
      <w:r>
        <w:t>SPX</w:t>
      </w:r>
    </w:p>
    <w:p w:rsidR="005A206F" w:rsidRDefault="003E5D94">
      <w:pPr>
        <w:spacing w:line="480" w:lineRule="auto"/>
      </w:pPr>
      <w:r>
        <w:t>4) Long position on a bond</w:t>
      </w:r>
    </w:p>
    <w:p w:rsidR="005A206F" w:rsidRDefault="003E5D94">
      <w:pPr>
        <w:spacing w:line="480" w:lineRule="auto"/>
      </w:pPr>
      <w:r>
        <w:t>The strategy consisted of buying 3 calls ATM ($885.28); selling 3 calls OTM with the strike price capped on 40% of the value of the note [885.28*(1+40%/3)]; selling 1 put OTM with strike 10% lower of the ATM valu</w:t>
      </w:r>
      <w:r>
        <w:t>e (885.28*0.9); and buying a bond with value of (=Principal*EXP(-</w:t>
      </w:r>
      <w:proofErr w:type="spellStart"/>
      <w:r>
        <w:t>Int_Rate</w:t>
      </w:r>
      <w:proofErr w:type="spellEnd"/>
      <w:r>
        <w:t xml:space="preserve">*Life)). </w:t>
      </w:r>
    </w:p>
    <w:p w:rsidR="005A206F" w:rsidRDefault="003E5D94">
      <w:pPr>
        <w:spacing w:line="480" w:lineRule="auto"/>
      </w:pPr>
      <w:r>
        <w:lastRenderedPageBreak/>
        <w:t xml:space="preserve">The strike price of the positive side of the payoff is found by manipulating the following relationship: Payoff =  </w:t>
      </w:r>
      <m:oMath>
        <m:r>
          <w:rPr>
            <w:rFonts w:ascii="Cambria" w:eastAsia="Cambria" w:hAnsi="Cambria" w:cs="Cambria"/>
          </w:rPr>
          <m:t>10$+10$*300%*</m:t>
        </m:r>
        <m:r>
          <w:rPr>
            <w:rFonts w:ascii="Cambria" w:eastAsia="Cambria" w:hAnsi="Cambria" w:cs="Cambria"/>
          </w:rPr>
          <m:t>SPXΔ</m:t>
        </m:r>
        <m:r>
          <w:rPr>
            <w:rFonts w:ascii="Cambria" w:eastAsia="Cambria" w:hAnsi="Cambria" w:cs="Cambria"/>
          </w:rPr>
          <m:t xml:space="preserve">&lt;14$ </m:t>
        </m:r>
      </m:oMath>
      <w:r>
        <w:t>If we isolate delta SPX, we find</w:t>
      </w:r>
      <w:r>
        <w:t xml:space="preserve"> that the maximum change is </w:t>
      </w:r>
      <m:oMath>
        <m:f>
          <m:fPr>
            <m:ctrlPr>
              <w:rPr>
                <w:rFonts w:ascii="Cambria" w:eastAsia="Cambria" w:hAnsi="Cambria" w:cs="Cambria"/>
              </w:rPr>
            </m:ctrlPr>
          </m:fPr>
          <m:num>
            <m:r>
              <w:rPr>
                <w:rFonts w:ascii="Cambria" w:eastAsia="Cambria" w:hAnsi="Cambria" w:cs="Cambria"/>
              </w:rPr>
              <m:t>0.4</m:t>
            </m:r>
          </m:num>
          <m:den>
            <m:r>
              <w:rPr>
                <w:rFonts w:ascii="Cambria" w:eastAsia="Cambria" w:hAnsi="Cambria" w:cs="Cambria"/>
              </w:rPr>
              <m:t>3</m:t>
            </m:r>
          </m:den>
        </m:f>
        <m:r>
          <w:rPr>
            <w:rFonts w:ascii="Cambria" w:eastAsia="Cambria" w:hAnsi="Cambria" w:cs="Cambria"/>
          </w:rPr>
          <m:t>%</m:t>
        </m:r>
      </m:oMath>
      <w:proofErr w:type="gramStart"/>
      <w:r>
        <w:t xml:space="preserve"> ..</w:t>
      </w:r>
      <w:proofErr w:type="gramEnd"/>
    </w:p>
    <w:p w:rsidR="005A206F" w:rsidRDefault="003E5D94">
      <w:pPr>
        <w:spacing w:line="480" w:lineRule="auto"/>
      </w:pPr>
      <w:r>
        <w:t>For all assets, we used the maturity of 2.083 years which is the difference between 1/7/2011 and 12/18/2008. To transform to years, we divided the delta days by 360, and we also assumed that all strike prices could be a</w:t>
      </w:r>
      <w:r>
        <w:t xml:space="preserve"> fractional number.</w:t>
      </w:r>
    </w:p>
    <w:p w:rsidR="005A206F" w:rsidRDefault="003E5D94">
      <w:pPr>
        <w:spacing w:line="480" w:lineRule="auto"/>
      </w:pPr>
      <w:r>
        <w:rPr>
          <w:b/>
        </w:rPr>
        <w:t xml:space="preserve">B) </w:t>
      </w:r>
      <w:r>
        <w:t>To get the value of the note we used the =</w:t>
      </w:r>
      <w:proofErr w:type="spellStart"/>
      <w:proofErr w:type="gramStart"/>
      <w:r>
        <w:t>BackShcoles</w:t>
      </w:r>
      <w:proofErr w:type="spellEnd"/>
      <w:r>
        <w:t>(</w:t>
      </w:r>
      <w:proofErr w:type="gramEnd"/>
      <w:r>
        <w:t>) formula to price all options. To price the bond, we used the formula =Principal*EXP(-</w:t>
      </w:r>
      <w:proofErr w:type="spellStart"/>
      <w:r>
        <w:t>Int_Rate</w:t>
      </w:r>
      <w:proofErr w:type="spellEnd"/>
      <w:r>
        <w:t>*Life). To get the quantities of the options we divided the principal value over ind</w:t>
      </w:r>
      <w:r>
        <w:t>ex value, remembering that to match the levered payoff we had to buy and sell 3x the call options. Finally, to price the note, we added the costs to get the final price of $9.06.</w:t>
      </w:r>
    </w:p>
    <w:p w:rsidR="005A206F" w:rsidRDefault="005A206F">
      <w:pPr>
        <w:spacing w:line="480" w:lineRule="auto"/>
      </w:pPr>
    </w:p>
    <w:p w:rsidR="005A206F" w:rsidRDefault="005A206F">
      <w:pPr>
        <w:spacing w:line="480" w:lineRule="auto"/>
      </w:pPr>
    </w:p>
    <w:p w:rsidR="005A206F" w:rsidRDefault="005A206F">
      <w:pPr>
        <w:spacing w:line="480" w:lineRule="auto"/>
      </w:pPr>
    </w:p>
    <w:p w:rsidR="005A206F" w:rsidRDefault="005A206F">
      <w:pPr>
        <w:spacing w:line="480" w:lineRule="auto"/>
      </w:pPr>
    </w:p>
    <w:p w:rsidR="005A206F" w:rsidRDefault="003E5D94">
      <w:pPr>
        <w:spacing w:line="480" w:lineRule="auto"/>
        <w:rPr>
          <w:b/>
          <w:u w:val="single"/>
        </w:rPr>
      </w:pPr>
      <w:r>
        <w:rPr>
          <w:b/>
          <w:u w:val="single"/>
        </w:rPr>
        <w:t>Question 3 – Part 1:</w:t>
      </w:r>
    </w:p>
    <w:p w:rsidR="005A206F" w:rsidRDefault="003E5D94">
      <w:pPr>
        <w:spacing w:line="480" w:lineRule="auto"/>
      </w:pPr>
      <w:r>
        <w:t xml:space="preserve">A) First, we calculated the payoff of the coupons. We annualized the period (dividing the difference of T by 360) and computed the PV of all coupons, then we added theses PV values ($0.9248). </w:t>
      </w:r>
    </w:p>
    <w:p w:rsidR="005A206F" w:rsidRDefault="003E5D94">
      <w:pPr>
        <w:spacing w:line="480" w:lineRule="auto"/>
      </w:pPr>
      <w:r>
        <w:lastRenderedPageBreak/>
        <w:t>We did a similar process on the dividends, annualizing the peri</w:t>
      </w:r>
      <w:r>
        <w:t>ods and getting the PV of the projected dividends. We needed the PV of dividends to value the option, thus we used the values from the note’s issuance until the maturity of the call (we calculated the accrual for the period Jan/20/2009).</w:t>
      </w:r>
    </w:p>
    <w:p w:rsidR="005A206F" w:rsidRDefault="003E5D94">
      <w:pPr>
        <w:spacing w:line="480" w:lineRule="auto"/>
      </w:pPr>
      <w:r>
        <w:t>Then we calculated</w:t>
      </w:r>
      <w:r>
        <w:t xml:space="preserve"> the option price using the =</w:t>
      </w:r>
      <w:proofErr w:type="spellStart"/>
      <w:r>
        <w:t>Black_</w:t>
      </w:r>
      <w:proofErr w:type="gramStart"/>
      <w:r>
        <w:t>Scholes</w:t>
      </w:r>
      <w:proofErr w:type="spellEnd"/>
      <w:r>
        <w:t>(</w:t>
      </w:r>
      <w:proofErr w:type="gramEnd"/>
      <w:r>
        <w:t xml:space="preserve">) formula. We used the strike price of $11.6337*2 and used the dividend yield as the rate between the issue date and Jan/20/2009. For the spot price we added the PV of the coupons that are after the exercise date </w:t>
      </w:r>
      <w:r>
        <w:t>(4/20/2009 and 7/20/2009), and the PV of the dividends. We priced the options at $0.84, therefore the total cost of the note is equal to $10.47 (S0/2 - Option price + Bond payoff).</w:t>
      </w:r>
    </w:p>
    <w:p w:rsidR="005A206F" w:rsidRDefault="005A206F">
      <w:pPr>
        <w:spacing w:line="480" w:lineRule="auto"/>
      </w:pPr>
    </w:p>
    <w:p w:rsidR="005A206F" w:rsidRDefault="003E5D94">
      <w:pPr>
        <w:spacing w:line="480" w:lineRule="auto"/>
        <w:jc w:val="center"/>
        <w:rPr>
          <w:b/>
        </w:rPr>
      </w:pPr>
      <w:bookmarkStart w:id="6" w:name="_3dy6vkm" w:colFirst="0" w:colLast="0"/>
      <w:bookmarkEnd w:id="6"/>
      <w:r>
        <w:rPr>
          <w:b/>
        </w:rPr>
        <w:t>Part 2</w:t>
      </w:r>
    </w:p>
    <w:p w:rsidR="005A206F" w:rsidRDefault="003E5D94">
      <w:pPr>
        <w:spacing w:line="480" w:lineRule="auto"/>
      </w:pPr>
      <w:r>
        <w:t xml:space="preserve">We will post the results on this report, but the details regarding </w:t>
      </w:r>
      <w:r>
        <w:t xml:space="preserve">the implementation and concepts used to solve the problems are described in the </w:t>
      </w:r>
      <w:proofErr w:type="spellStart"/>
      <w:r>
        <w:t>jupyter</w:t>
      </w:r>
      <w:proofErr w:type="spellEnd"/>
      <w:r>
        <w:t xml:space="preserve">-notebook attached to this file (html format). </w:t>
      </w:r>
    </w:p>
    <w:p w:rsidR="005A206F" w:rsidRDefault="005A206F">
      <w:pPr>
        <w:spacing w:line="480" w:lineRule="auto"/>
      </w:pPr>
    </w:p>
    <w:p w:rsidR="005A206F" w:rsidRDefault="005A206F"/>
    <w:p w:rsidR="00196DC0" w:rsidRDefault="00196DC0"/>
    <w:p w:rsidR="00196DC0" w:rsidRDefault="00196DC0"/>
    <w:p w:rsidR="00196DC0" w:rsidRDefault="00196DC0"/>
    <w:p w:rsidR="00196DC0" w:rsidRDefault="00196DC0"/>
    <w:p w:rsidR="00196DC0" w:rsidRDefault="00196DC0"/>
    <w:p w:rsidR="00196DC0" w:rsidRDefault="00196DC0"/>
    <w:p w:rsidR="00196DC0" w:rsidRDefault="00196DC0"/>
    <w:p w:rsidR="00196DC0" w:rsidRDefault="00196DC0"/>
    <w:p w:rsidR="00196DC0" w:rsidRDefault="00196DC0"/>
    <w:p w:rsidR="00196DC0" w:rsidRDefault="00196DC0"/>
    <w:p w:rsidR="00196DC0" w:rsidRDefault="00196DC0"/>
    <w:p w:rsidR="00196DC0" w:rsidRPr="00D114A7" w:rsidRDefault="00196DC0" w:rsidP="00196DC0">
      <w:pPr>
        <w:spacing w:line="480" w:lineRule="auto"/>
        <w:rPr>
          <w:b/>
          <w:u w:val="single"/>
        </w:rPr>
      </w:pPr>
      <w:r w:rsidRPr="00D114A7">
        <w:rPr>
          <w:b/>
          <w:u w:val="single"/>
        </w:rPr>
        <w:lastRenderedPageBreak/>
        <w:t>Question 1 – Part 2:</w:t>
      </w:r>
    </w:p>
    <w:p w:rsidR="00196DC0" w:rsidRDefault="00196DC0" w:rsidP="00196DC0">
      <w:pPr>
        <w:spacing w:line="480" w:lineRule="auto"/>
      </w:pPr>
      <w:r>
        <w:t>The descriptive statistics were as follows:</w:t>
      </w:r>
    </w:p>
    <w:p w:rsidR="00196DC0" w:rsidRDefault="00196DC0" w:rsidP="00196DC0">
      <w:pPr>
        <w:spacing w:line="480" w:lineRule="auto"/>
        <w:jc w:val="center"/>
      </w:pPr>
      <w:r>
        <w:rPr>
          <w:noProof/>
        </w:rPr>
        <w:drawing>
          <wp:inline distT="0" distB="0" distL="0" distR="0" wp14:anchorId="0D9282A6" wp14:editId="48AAE1C9">
            <wp:extent cx="2256693" cy="1990725"/>
            <wp:effectExtent l="19050" t="19050" r="1079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5965" cy="2007725"/>
                    </a:xfrm>
                    <a:prstGeom prst="rect">
                      <a:avLst/>
                    </a:prstGeom>
                    <a:ln>
                      <a:solidFill>
                        <a:schemeClr val="tx1"/>
                      </a:solidFill>
                    </a:ln>
                  </pic:spPr>
                </pic:pic>
              </a:graphicData>
            </a:graphic>
          </wp:inline>
        </w:drawing>
      </w:r>
    </w:p>
    <w:p w:rsidR="00196DC0" w:rsidRDefault="00196DC0" w:rsidP="00196DC0">
      <w:pPr>
        <w:spacing w:line="480" w:lineRule="auto"/>
        <w:jc w:val="center"/>
      </w:pPr>
      <w:r>
        <w:rPr>
          <w:noProof/>
        </w:rPr>
        <w:drawing>
          <wp:inline distT="0" distB="0" distL="0" distR="0" wp14:anchorId="5EA4C0CC" wp14:editId="718537B6">
            <wp:extent cx="2689438" cy="17049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9438" cy="1704975"/>
                    </a:xfrm>
                    <a:prstGeom prst="rect">
                      <a:avLst/>
                    </a:prstGeom>
                    <a:ln>
                      <a:solidFill>
                        <a:schemeClr val="tx1"/>
                      </a:solidFill>
                    </a:ln>
                  </pic:spPr>
                </pic:pic>
              </a:graphicData>
            </a:graphic>
          </wp:inline>
        </w:drawing>
      </w:r>
    </w:p>
    <w:p w:rsidR="00196DC0" w:rsidRDefault="00196DC0" w:rsidP="00196DC0">
      <w:pPr>
        <w:spacing w:line="480" w:lineRule="auto"/>
        <w:jc w:val="center"/>
      </w:pPr>
      <w:r>
        <w:rPr>
          <w:noProof/>
        </w:rPr>
        <w:drawing>
          <wp:inline distT="0" distB="0" distL="0" distR="0" wp14:anchorId="1EB726A6" wp14:editId="73526693">
            <wp:extent cx="2609850" cy="1951364"/>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899" cy="1964111"/>
                    </a:xfrm>
                    <a:prstGeom prst="rect">
                      <a:avLst/>
                    </a:prstGeom>
                    <a:ln>
                      <a:solidFill>
                        <a:schemeClr val="tx1"/>
                      </a:solidFill>
                    </a:ln>
                  </pic:spPr>
                </pic:pic>
              </a:graphicData>
            </a:graphic>
          </wp:inline>
        </w:drawing>
      </w:r>
    </w:p>
    <w:p w:rsidR="00196DC0" w:rsidRDefault="00196DC0" w:rsidP="00196DC0">
      <w:pPr>
        <w:spacing w:line="480" w:lineRule="auto"/>
        <w:rPr>
          <w:b/>
        </w:rPr>
      </w:pPr>
    </w:p>
    <w:p w:rsidR="00196DC0" w:rsidRDefault="00196DC0" w:rsidP="00196DC0">
      <w:pPr>
        <w:spacing w:line="480" w:lineRule="auto"/>
        <w:rPr>
          <w:b/>
        </w:rPr>
      </w:pPr>
    </w:p>
    <w:p w:rsidR="00196DC0" w:rsidRDefault="00196DC0" w:rsidP="00196DC0">
      <w:pPr>
        <w:spacing w:line="480" w:lineRule="auto"/>
        <w:rPr>
          <w:b/>
        </w:rPr>
      </w:pPr>
    </w:p>
    <w:p w:rsidR="00196DC0" w:rsidRPr="007D0ADD" w:rsidRDefault="00196DC0" w:rsidP="00196DC0">
      <w:pPr>
        <w:spacing w:line="480" w:lineRule="auto"/>
        <w:rPr>
          <w:b/>
        </w:rPr>
      </w:pPr>
      <w:r w:rsidRPr="007D0ADD">
        <w:rPr>
          <w:b/>
        </w:rPr>
        <w:lastRenderedPageBreak/>
        <w:t>Question 2 – Part 2:</w:t>
      </w:r>
    </w:p>
    <w:p w:rsidR="00196DC0" w:rsidRDefault="00196DC0" w:rsidP="00196DC0">
      <w:pPr>
        <w:spacing w:line="480" w:lineRule="auto"/>
      </w:pPr>
      <w:r>
        <w:rPr>
          <w:noProof/>
        </w:rPr>
        <w:drawing>
          <wp:inline distT="0" distB="0" distL="0" distR="0" wp14:anchorId="3B35FF0D" wp14:editId="2186740F">
            <wp:extent cx="5257800" cy="3564467"/>
            <wp:effectExtent l="19050" t="19050" r="190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9036" cy="3572084"/>
                    </a:xfrm>
                    <a:prstGeom prst="rect">
                      <a:avLst/>
                    </a:prstGeom>
                    <a:ln>
                      <a:solidFill>
                        <a:schemeClr val="tx1"/>
                      </a:solidFill>
                    </a:ln>
                  </pic:spPr>
                </pic:pic>
              </a:graphicData>
            </a:graphic>
          </wp:inline>
        </w:drawing>
      </w:r>
    </w:p>
    <w:p w:rsidR="00196DC0" w:rsidRDefault="00196DC0" w:rsidP="00196DC0">
      <w:pPr>
        <w:spacing w:line="480" w:lineRule="auto"/>
      </w:pPr>
      <w:r>
        <w:rPr>
          <w:noProof/>
        </w:rPr>
        <w:drawing>
          <wp:inline distT="0" distB="0" distL="0" distR="0" wp14:anchorId="3E1F313A" wp14:editId="4DB04660">
            <wp:extent cx="5291142" cy="733425"/>
            <wp:effectExtent l="19050" t="19050" r="2413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2948" cy="761398"/>
                    </a:xfrm>
                    <a:prstGeom prst="rect">
                      <a:avLst/>
                    </a:prstGeom>
                    <a:ln>
                      <a:solidFill>
                        <a:schemeClr val="tx1"/>
                      </a:solidFill>
                    </a:ln>
                  </pic:spPr>
                </pic:pic>
              </a:graphicData>
            </a:graphic>
          </wp:inline>
        </w:drawing>
      </w:r>
    </w:p>
    <w:p w:rsidR="00196DC0" w:rsidRDefault="00196DC0" w:rsidP="00196DC0">
      <w:pPr>
        <w:spacing w:line="480" w:lineRule="auto"/>
      </w:pPr>
      <w:r>
        <w:t xml:space="preserve">The simulations we developed returned GAINs very similar to what were presented by </w:t>
      </w:r>
      <w:sdt>
        <w:sdtPr>
          <w:id w:val="-876547858"/>
          <w:citation/>
        </w:sdtPr>
        <w:sdtContent>
          <w:r>
            <w:fldChar w:fldCharType="begin"/>
          </w:r>
          <w:r>
            <w:instrText xml:space="preserve"> CITATION JHu17 \l 1033 </w:instrText>
          </w:r>
          <w:r>
            <w:fldChar w:fldCharType="separate"/>
          </w:r>
          <w:r>
            <w:rPr>
              <w:noProof/>
            </w:rPr>
            <w:t>(J. Hull, 2017)</w:t>
          </w:r>
          <w:r>
            <w:fldChar w:fldCharType="end"/>
          </w:r>
        </w:sdtContent>
      </w:sdt>
    </w:p>
    <w:p w:rsidR="00196DC0" w:rsidRDefault="00196DC0" w:rsidP="00196DC0">
      <w:pPr>
        <w:spacing w:line="480" w:lineRule="auto"/>
        <w:jc w:val="center"/>
      </w:pPr>
      <w:r>
        <w:rPr>
          <w:noProof/>
        </w:rPr>
        <w:lastRenderedPageBreak/>
        <w:drawing>
          <wp:inline distT="0" distB="0" distL="0" distR="0" wp14:anchorId="7E88B593" wp14:editId="5DAACD66">
            <wp:extent cx="4333875" cy="3377045"/>
            <wp:effectExtent l="19050" t="19050" r="952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40" cy="3378810"/>
                    </a:xfrm>
                    <a:prstGeom prst="rect">
                      <a:avLst/>
                    </a:prstGeom>
                    <a:ln>
                      <a:solidFill>
                        <a:schemeClr val="tx1"/>
                      </a:solidFill>
                    </a:ln>
                  </pic:spPr>
                </pic:pic>
              </a:graphicData>
            </a:graphic>
          </wp:inline>
        </w:drawing>
      </w:r>
    </w:p>
    <w:p w:rsidR="00196DC0" w:rsidRDefault="00196DC0" w:rsidP="00196DC0">
      <w:pPr>
        <w:spacing w:line="480" w:lineRule="auto"/>
        <w:jc w:val="center"/>
      </w:pPr>
      <w:r>
        <w:rPr>
          <w:noProof/>
        </w:rPr>
        <w:drawing>
          <wp:inline distT="0" distB="0" distL="0" distR="0" wp14:anchorId="7C96ABC6" wp14:editId="3B48D672">
            <wp:extent cx="4381500" cy="3143869"/>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9723" cy="3156945"/>
                    </a:xfrm>
                    <a:prstGeom prst="rect">
                      <a:avLst/>
                    </a:prstGeom>
                    <a:ln>
                      <a:solidFill>
                        <a:schemeClr val="tx1"/>
                      </a:solidFill>
                    </a:ln>
                  </pic:spPr>
                </pic:pic>
              </a:graphicData>
            </a:graphic>
          </wp:inline>
        </w:drawing>
      </w:r>
    </w:p>
    <w:p w:rsidR="00196DC0" w:rsidRDefault="00196DC0" w:rsidP="00196DC0">
      <w:pPr>
        <w:spacing w:line="480" w:lineRule="auto"/>
      </w:pPr>
    </w:p>
    <w:p w:rsidR="00196DC0" w:rsidRDefault="00196DC0" w:rsidP="00196DC0">
      <w:pPr>
        <w:spacing w:line="480" w:lineRule="auto"/>
      </w:pPr>
    </w:p>
    <w:p w:rsidR="00196DC0" w:rsidRDefault="00196DC0" w:rsidP="00196DC0">
      <w:pPr>
        <w:spacing w:line="480" w:lineRule="auto"/>
      </w:pPr>
    </w:p>
    <w:p w:rsidR="00196DC0" w:rsidRDefault="00196DC0" w:rsidP="00196DC0">
      <w:pPr>
        <w:spacing w:line="480" w:lineRule="auto"/>
        <w:rPr>
          <w:b/>
        </w:rPr>
      </w:pPr>
      <w:r w:rsidRPr="00FF5666">
        <w:rPr>
          <w:b/>
        </w:rPr>
        <w:lastRenderedPageBreak/>
        <w:t>Question 3 – Part 2:</w:t>
      </w:r>
    </w:p>
    <w:p w:rsidR="00196DC0" w:rsidRPr="00E51D31" w:rsidRDefault="00196DC0" w:rsidP="00196DC0">
      <w:pPr>
        <w:spacing w:line="480" w:lineRule="auto"/>
      </w:pPr>
      <w:r w:rsidRPr="00E51D31">
        <w:t>Next, we present the parameter plot for the cases in which no bucket was used for either puts or calls.</w:t>
      </w:r>
    </w:p>
    <w:p w:rsidR="00196DC0" w:rsidRDefault="00196DC0" w:rsidP="00196DC0">
      <w:pPr>
        <w:spacing w:line="480" w:lineRule="auto"/>
      </w:pPr>
      <w:r>
        <w:rPr>
          <w:noProof/>
        </w:rPr>
        <w:drawing>
          <wp:inline distT="0" distB="0" distL="0" distR="0" wp14:anchorId="7457B5A4" wp14:editId="63E059CC">
            <wp:extent cx="5781675" cy="39147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3914775"/>
                    </a:xfrm>
                    <a:prstGeom prst="rect">
                      <a:avLst/>
                    </a:prstGeom>
                    <a:ln>
                      <a:solidFill>
                        <a:schemeClr val="tx1"/>
                      </a:solidFill>
                    </a:ln>
                  </pic:spPr>
                </pic:pic>
              </a:graphicData>
            </a:graphic>
          </wp:inline>
        </w:drawing>
      </w:r>
    </w:p>
    <w:p w:rsidR="00196DC0" w:rsidRDefault="00196DC0" w:rsidP="00196DC0"/>
    <w:p w:rsidR="00196DC0" w:rsidRPr="00E51D31" w:rsidRDefault="00196DC0" w:rsidP="00196DC0">
      <w:pPr>
        <w:spacing w:line="480" w:lineRule="auto"/>
      </w:pPr>
      <w:r>
        <w:t>We also present here the parameter plots for individual cases: puts and calls and different delta buckets:</w:t>
      </w:r>
    </w:p>
    <w:p w:rsidR="00196DC0" w:rsidRDefault="00196DC0" w:rsidP="00196DC0">
      <w:pPr>
        <w:spacing w:line="480" w:lineRule="auto"/>
        <w:jc w:val="center"/>
      </w:pPr>
      <w:r>
        <w:rPr>
          <w:noProof/>
        </w:rPr>
        <w:lastRenderedPageBreak/>
        <w:drawing>
          <wp:inline distT="0" distB="0" distL="0" distR="0" wp14:anchorId="30E1E5D0" wp14:editId="653A3C52">
            <wp:extent cx="5229225" cy="368280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5600" cy="3694337"/>
                    </a:xfrm>
                    <a:prstGeom prst="rect">
                      <a:avLst/>
                    </a:prstGeom>
                    <a:ln>
                      <a:solidFill>
                        <a:schemeClr val="tx1"/>
                      </a:solidFill>
                    </a:ln>
                  </pic:spPr>
                </pic:pic>
              </a:graphicData>
            </a:graphic>
          </wp:inline>
        </w:drawing>
      </w:r>
    </w:p>
    <w:p w:rsidR="00196DC0" w:rsidRDefault="00196DC0" w:rsidP="00196DC0">
      <w:pPr>
        <w:spacing w:line="480" w:lineRule="auto"/>
        <w:jc w:val="center"/>
      </w:pPr>
      <w:r>
        <w:rPr>
          <w:noProof/>
        </w:rPr>
        <w:drawing>
          <wp:inline distT="0" distB="0" distL="0" distR="0" wp14:anchorId="0628F4E0" wp14:editId="6C46FC1B">
            <wp:extent cx="5210175" cy="3711135"/>
            <wp:effectExtent l="19050" t="19050" r="952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686" cy="3734292"/>
                    </a:xfrm>
                    <a:prstGeom prst="rect">
                      <a:avLst/>
                    </a:prstGeom>
                    <a:ln>
                      <a:solidFill>
                        <a:schemeClr val="tx1"/>
                      </a:solidFill>
                    </a:ln>
                  </pic:spPr>
                </pic:pic>
              </a:graphicData>
            </a:graphic>
          </wp:inline>
        </w:drawing>
      </w:r>
    </w:p>
    <w:p w:rsidR="00196DC0" w:rsidRDefault="00196DC0" w:rsidP="00196DC0">
      <w:pPr>
        <w:spacing w:line="480" w:lineRule="auto"/>
        <w:jc w:val="center"/>
      </w:pPr>
      <w:r>
        <w:rPr>
          <w:noProof/>
        </w:rPr>
        <w:lastRenderedPageBreak/>
        <w:drawing>
          <wp:inline distT="0" distB="0" distL="0" distR="0" wp14:anchorId="7A4283A1" wp14:editId="64C0A003">
            <wp:extent cx="5044141" cy="2447925"/>
            <wp:effectExtent l="19050" t="19050" r="2349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643" cy="2454477"/>
                    </a:xfrm>
                    <a:prstGeom prst="rect">
                      <a:avLst/>
                    </a:prstGeom>
                    <a:ln>
                      <a:solidFill>
                        <a:schemeClr val="tx1"/>
                      </a:solidFill>
                    </a:ln>
                  </pic:spPr>
                </pic:pic>
              </a:graphicData>
            </a:graphic>
          </wp:inline>
        </w:drawing>
      </w:r>
      <w:r>
        <w:rPr>
          <w:noProof/>
        </w:rPr>
        <w:drawing>
          <wp:inline distT="0" distB="0" distL="0" distR="0" wp14:anchorId="4CC77BEA" wp14:editId="1BE99E45">
            <wp:extent cx="5105355" cy="4977130"/>
            <wp:effectExtent l="19050" t="19050" r="19685"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7994" cy="4979703"/>
                    </a:xfrm>
                    <a:prstGeom prst="rect">
                      <a:avLst/>
                    </a:prstGeom>
                    <a:ln>
                      <a:solidFill>
                        <a:schemeClr val="tx1"/>
                      </a:solidFill>
                    </a:ln>
                  </pic:spPr>
                </pic:pic>
              </a:graphicData>
            </a:graphic>
          </wp:inline>
        </w:drawing>
      </w:r>
    </w:p>
    <w:p w:rsidR="00196DC0" w:rsidRDefault="00196DC0" w:rsidP="00196DC0">
      <w:pPr>
        <w:spacing w:line="480" w:lineRule="auto"/>
      </w:pPr>
      <w:r>
        <w:rPr>
          <w:noProof/>
        </w:rPr>
        <w:lastRenderedPageBreak/>
        <w:drawing>
          <wp:inline distT="0" distB="0" distL="0" distR="0" wp14:anchorId="6C6983DF" wp14:editId="26F4F4CE">
            <wp:extent cx="5486400" cy="3780155"/>
            <wp:effectExtent l="19050" t="19050" r="1905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780155"/>
                    </a:xfrm>
                    <a:prstGeom prst="rect">
                      <a:avLst/>
                    </a:prstGeom>
                    <a:ln>
                      <a:solidFill>
                        <a:schemeClr val="tx1"/>
                      </a:solidFill>
                    </a:ln>
                  </pic:spPr>
                </pic:pic>
              </a:graphicData>
            </a:graphic>
          </wp:inline>
        </w:drawing>
      </w:r>
    </w:p>
    <w:p w:rsidR="00196DC0" w:rsidRDefault="00196DC0" w:rsidP="00196DC0">
      <w:pPr>
        <w:keepNext/>
        <w:spacing w:line="480" w:lineRule="auto"/>
        <w:jc w:val="center"/>
      </w:pPr>
      <w:r>
        <w:rPr>
          <w:noProof/>
        </w:rPr>
        <w:drawing>
          <wp:inline distT="0" distB="0" distL="0" distR="0" wp14:anchorId="1E6040CE" wp14:editId="6DA2DAA0">
            <wp:extent cx="3695700" cy="254346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804" cy="2550415"/>
                    </a:xfrm>
                    <a:prstGeom prst="rect">
                      <a:avLst/>
                    </a:prstGeom>
                  </pic:spPr>
                </pic:pic>
              </a:graphicData>
            </a:graphic>
          </wp:inline>
        </w:drawing>
      </w:r>
    </w:p>
    <w:p w:rsidR="00196DC0" w:rsidRDefault="00196DC0" w:rsidP="00196DC0">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GAIN (y-axis) versus delta bucket (x-axis) for calls after introduction of new factors (modified delta MV)</w:t>
      </w:r>
    </w:p>
    <w:p w:rsidR="00196DC0" w:rsidRDefault="00196DC0" w:rsidP="00196DC0">
      <w:pPr>
        <w:keepNext/>
        <w:spacing w:line="480" w:lineRule="auto"/>
        <w:jc w:val="center"/>
      </w:pPr>
      <w:r>
        <w:rPr>
          <w:noProof/>
        </w:rPr>
        <w:lastRenderedPageBreak/>
        <w:drawing>
          <wp:inline distT="0" distB="0" distL="0" distR="0" wp14:anchorId="1BAA2A62" wp14:editId="6A28A79F">
            <wp:extent cx="4048125" cy="2857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2857500"/>
                    </a:xfrm>
                    <a:prstGeom prst="rect">
                      <a:avLst/>
                    </a:prstGeom>
                  </pic:spPr>
                </pic:pic>
              </a:graphicData>
            </a:graphic>
          </wp:inline>
        </w:drawing>
      </w:r>
    </w:p>
    <w:p w:rsidR="00196DC0" w:rsidRDefault="00196DC0" w:rsidP="00196DC0">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3E4D7F">
        <w:t>GAIN (y-axis) versus</w:t>
      </w:r>
      <w:r>
        <w:t xml:space="preserve"> delta bucket (x-axis) for puts</w:t>
      </w:r>
      <w:r w:rsidRPr="003E4D7F">
        <w:t xml:space="preserve"> after introduction of new factors (modified delta MV)</w:t>
      </w:r>
    </w:p>
    <w:p w:rsidR="00196DC0" w:rsidRPr="00E96C52" w:rsidRDefault="00196DC0" w:rsidP="00196DC0">
      <w:pPr>
        <w:spacing w:line="480" w:lineRule="auto"/>
        <w:rPr>
          <w:b/>
        </w:rPr>
      </w:pPr>
      <w:r w:rsidRPr="00E96C52">
        <w:rPr>
          <w:b/>
        </w:rPr>
        <w:t>Changing the Rolling Window</w:t>
      </w:r>
      <w:r>
        <w:rPr>
          <w:b/>
        </w:rPr>
        <w:t>:</w:t>
      </w:r>
    </w:p>
    <w:p w:rsidR="00196DC0" w:rsidRDefault="00196DC0" w:rsidP="00196DC0">
      <w:pPr>
        <w:spacing w:line="480" w:lineRule="auto"/>
      </w:pPr>
      <w:r>
        <w:t>In addition to changing the model, we performed a test to select a rolling window that could also improve the gain. The image bellow is a surface plot of the GAIN for a set of rolling window parameters, rolling forward (measured in days) and backward (measured in months).</w:t>
      </w:r>
    </w:p>
    <w:p w:rsidR="00196DC0" w:rsidRDefault="00196DC0" w:rsidP="00196DC0">
      <w:pPr>
        <w:keepNext/>
        <w:spacing w:line="480" w:lineRule="auto"/>
        <w:jc w:val="center"/>
      </w:pPr>
      <w:r>
        <w:rPr>
          <w:noProof/>
        </w:rPr>
        <w:lastRenderedPageBreak/>
        <w:drawing>
          <wp:inline distT="0" distB="0" distL="0" distR="0" wp14:anchorId="34B37D8B" wp14:editId="64E3FDDC">
            <wp:extent cx="4072842" cy="294322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9508" cy="2962495"/>
                    </a:xfrm>
                    <a:prstGeom prst="rect">
                      <a:avLst/>
                    </a:prstGeom>
                  </pic:spPr>
                </pic:pic>
              </a:graphicData>
            </a:graphic>
          </wp:inline>
        </w:drawing>
      </w:r>
    </w:p>
    <w:p w:rsidR="00196DC0" w:rsidRDefault="00196DC0" w:rsidP="00196DC0">
      <w:pPr>
        <w:pStyle w:val="Caption"/>
        <w:jc w:val="center"/>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5C5501">
        <w:t xml:space="preserve"> </w:t>
      </w:r>
      <w:r>
        <w:t>Surface</w:t>
      </w:r>
      <w:r w:rsidRPr="005C5501">
        <w:t xml:space="preserve"> plot of the rolling window parameters (backward and forward) versus the GAIN (calls)</w:t>
      </w:r>
    </w:p>
    <w:p w:rsidR="00196DC0" w:rsidRDefault="00196DC0" w:rsidP="00196DC0">
      <w:pPr>
        <w:spacing w:line="480" w:lineRule="auto"/>
        <w:jc w:val="center"/>
        <w:rPr>
          <w:noProof/>
        </w:rPr>
      </w:pPr>
    </w:p>
    <w:p w:rsidR="00196DC0" w:rsidRDefault="00196DC0" w:rsidP="00196DC0">
      <w:pPr>
        <w:keepNext/>
        <w:spacing w:line="480" w:lineRule="auto"/>
        <w:jc w:val="center"/>
      </w:pPr>
      <w:r>
        <w:rPr>
          <w:noProof/>
        </w:rPr>
        <w:drawing>
          <wp:inline distT="0" distB="0" distL="0" distR="0" wp14:anchorId="198EBBE3" wp14:editId="13CABA93">
            <wp:extent cx="4090522" cy="29337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3519" cy="2935850"/>
                    </a:xfrm>
                    <a:prstGeom prst="rect">
                      <a:avLst/>
                    </a:prstGeom>
                  </pic:spPr>
                </pic:pic>
              </a:graphicData>
            </a:graphic>
          </wp:inline>
        </w:drawing>
      </w:r>
    </w:p>
    <w:p w:rsidR="00196DC0" w:rsidRDefault="00196DC0" w:rsidP="00196DC0">
      <w:pPr>
        <w:pStyle w:val="Caption"/>
        <w:jc w:val="center"/>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Contour plot of the rolling window parameters (backward and forward) versus the GAIN (calls)</w:t>
      </w:r>
    </w:p>
    <w:p w:rsidR="00196DC0" w:rsidRDefault="00196DC0" w:rsidP="00196DC0">
      <w:pPr>
        <w:spacing w:line="480" w:lineRule="auto"/>
        <w:rPr>
          <w:noProof/>
        </w:rPr>
      </w:pPr>
      <w:r>
        <w:rPr>
          <w:noProof/>
        </w:rPr>
        <w:t xml:space="preserve">Based on the contour, in our final attempt to improve performance we used the modified approach with a back window of 20 months and a forward window of 20 </w:t>
      </w:r>
      <w:r>
        <w:rPr>
          <w:noProof/>
        </w:rPr>
        <w:lastRenderedPageBreak/>
        <w:t>days. The GAIN on a call, within all buckets, is 33% and for a put is 30%. When analysing the improvement per bucket, we see a higher benefit for buckets between 0.5 and 0.8 for calls and a widespread benefit for puts. The next charts are plots comparing the GAINs (y-axis) with the delta buckets (X-axis) using the modified delta MV, a back rolling window of 20 months and a forward of 20 days.</w:t>
      </w:r>
    </w:p>
    <w:p w:rsidR="00196DC0" w:rsidRDefault="00196DC0" w:rsidP="00196DC0">
      <w:pPr>
        <w:keepNext/>
        <w:spacing w:line="480" w:lineRule="auto"/>
        <w:jc w:val="center"/>
      </w:pPr>
      <w:r>
        <w:rPr>
          <w:noProof/>
        </w:rPr>
        <w:drawing>
          <wp:inline distT="0" distB="0" distL="0" distR="0" wp14:anchorId="63645B56" wp14:editId="1C10EC74">
            <wp:extent cx="3613555" cy="260032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7100" cy="2610072"/>
                    </a:xfrm>
                    <a:prstGeom prst="rect">
                      <a:avLst/>
                    </a:prstGeom>
                  </pic:spPr>
                </pic:pic>
              </a:graphicData>
            </a:graphic>
          </wp:inline>
        </w:drawing>
      </w:r>
    </w:p>
    <w:p w:rsidR="00196DC0" w:rsidRDefault="00196DC0" w:rsidP="00196DC0">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Gain (y-axis) versus delta bucket (x-axis) - Calls</w:t>
      </w:r>
    </w:p>
    <w:p w:rsidR="00196DC0" w:rsidRDefault="00196DC0" w:rsidP="00196DC0">
      <w:pPr>
        <w:keepNext/>
        <w:spacing w:line="480" w:lineRule="auto"/>
        <w:jc w:val="center"/>
      </w:pPr>
      <w:r>
        <w:rPr>
          <w:noProof/>
        </w:rPr>
        <w:drawing>
          <wp:inline distT="0" distB="0" distL="0" distR="0" wp14:anchorId="504BDB6E" wp14:editId="092DFB22">
            <wp:extent cx="3686175" cy="254665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8383" cy="2555090"/>
                    </a:xfrm>
                    <a:prstGeom prst="rect">
                      <a:avLst/>
                    </a:prstGeom>
                  </pic:spPr>
                </pic:pic>
              </a:graphicData>
            </a:graphic>
          </wp:inline>
        </w:drawing>
      </w:r>
    </w:p>
    <w:p w:rsidR="00196DC0" w:rsidRDefault="00196DC0" w:rsidP="00196DC0">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3C6AA2">
        <w:t>Gain (y-axis) vers</w:t>
      </w:r>
      <w:r>
        <w:t>us delta bucket (x-axis) - Puts</w:t>
      </w:r>
    </w:p>
    <w:p w:rsidR="00196DC0" w:rsidRDefault="00196DC0">
      <w:bookmarkStart w:id="7" w:name="_GoBack"/>
      <w:bookmarkEnd w:id="7"/>
    </w:p>
    <w:p w:rsidR="00196DC0" w:rsidRDefault="00196DC0"/>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p w:rsidR="005A206F" w:rsidRDefault="005A206F"/>
    <w:tbl>
      <w:tblPr>
        <w:tblStyle w:val="a1"/>
        <w:tblW w:w="8640" w:type="dxa"/>
        <w:tblBorders>
          <w:top w:val="nil"/>
          <w:left w:val="nil"/>
          <w:bottom w:val="nil"/>
          <w:right w:val="nil"/>
          <w:insideH w:val="nil"/>
          <w:insideV w:val="nil"/>
        </w:tblBorders>
        <w:tblLayout w:type="fixed"/>
        <w:tblLook w:val="0400" w:firstRow="0" w:lastRow="0" w:firstColumn="0" w:lastColumn="0" w:noHBand="0" w:noVBand="1"/>
      </w:tblPr>
      <w:tblGrid>
        <w:gridCol w:w="2146"/>
        <w:gridCol w:w="2202"/>
        <w:gridCol w:w="2146"/>
        <w:gridCol w:w="2146"/>
      </w:tblGrid>
      <w:tr w:rsidR="005A206F">
        <w:tc>
          <w:tcPr>
            <w:tcW w:w="2146" w:type="dxa"/>
          </w:tcPr>
          <w:p w:rsidR="005A206F" w:rsidRDefault="005A206F"/>
        </w:tc>
        <w:tc>
          <w:tcPr>
            <w:tcW w:w="4348" w:type="dxa"/>
            <w:gridSpan w:val="2"/>
          </w:tcPr>
          <w:p w:rsidR="005A206F" w:rsidRDefault="003E5D94">
            <w:pPr>
              <w:widowControl w:val="0"/>
              <w:jc w:val="center"/>
              <w:rPr>
                <w:rFonts w:ascii="Century Gothic" w:eastAsia="Century Gothic" w:hAnsi="Century Gothic" w:cs="Century Gothic"/>
                <w:b/>
                <w:sz w:val="48"/>
                <w:szCs w:val="48"/>
              </w:rPr>
            </w:pPr>
            <w:r>
              <w:rPr>
                <w:rFonts w:ascii="Century Gothic" w:eastAsia="Century Gothic" w:hAnsi="Century Gothic" w:cs="Century Gothic"/>
                <w:b/>
                <w:sz w:val="48"/>
                <w:szCs w:val="48"/>
              </w:rPr>
              <w:t>Final Page</w:t>
            </w:r>
          </w:p>
        </w:tc>
        <w:tc>
          <w:tcPr>
            <w:tcW w:w="2146" w:type="dxa"/>
          </w:tcPr>
          <w:p w:rsidR="005A206F" w:rsidRDefault="005A206F"/>
        </w:tc>
      </w:tr>
      <w:tr w:rsidR="005A206F">
        <w:tc>
          <w:tcPr>
            <w:tcW w:w="2146" w:type="dxa"/>
          </w:tcPr>
          <w:p w:rsidR="005A206F" w:rsidRDefault="005A206F"/>
        </w:tc>
        <w:tc>
          <w:tcPr>
            <w:tcW w:w="2202" w:type="dxa"/>
          </w:tcPr>
          <w:p w:rsidR="005A206F" w:rsidRDefault="005A206F">
            <w:pPr>
              <w:widowControl w:val="0"/>
              <w:rPr>
                <w:rFonts w:ascii="Century Gothic" w:eastAsia="Century Gothic" w:hAnsi="Century Gothic" w:cs="Century Gothic"/>
                <w:b/>
                <w:sz w:val="48"/>
                <w:szCs w:val="48"/>
              </w:rPr>
            </w:pPr>
          </w:p>
        </w:tc>
        <w:tc>
          <w:tcPr>
            <w:tcW w:w="2146" w:type="dxa"/>
          </w:tcPr>
          <w:p w:rsidR="005A206F" w:rsidRDefault="005A206F">
            <w:pPr>
              <w:widowControl w:val="0"/>
              <w:rPr>
                <w:rFonts w:ascii="Century Gothic" w:eastAsia="Century Gothic" w:hAnsi="Century Gothic" w:cs="Century Gothic"/>
                <w:b/>
                <w:sz w:val="48"/>
                <w:szCs w:val="48"/>
              </w:rPr>
            </w:pPr>
          </w:p>
        </w:tc>
        <w:tc>
          <w:tcPr>
            <w:tcW w:w="2146" w:type="dxa"/>
          </w:tcPr>
          <w:p w:rsidR="005A206F" w:rsidRDefault="005A206F"/>
        </w:tc>
      </w:tr>
      <w:tr w:rsidR="005A206F">
        <w:tc>
          <w:tcPr>
            <w:tcW w:w="2146" w:type="dxa"/>
          </w:tcPr>
          <w:p w:rsidR="005A206F" w:rsidRDefault="005A206F">
            <w:pPr>
              <w:widowControl w:val="0"/>
              <w:rPr>
                <w:rFonts w:ascii="Century Gothic" w:eastAsia="Century Gothic" w:hAnsi="Century Gothic" w:cs="Century Gothic"/>
                <w:b/>
                <w:sz w:val="48"/>
                <w:szCs w:val="48"/>
              </w:rPr>
            </w:pPr>
          </w:p>
        </w:tc>
        <w:tc>
          <w:tcPr>
            <w:tcW w:w="2202" w:type="dxa"/>
          </w:tcPr>
          <w:p w:rsidR="005A206F" w:rsidRDefault="003E5D94">
            <w:pPr>
              <w:widowControl w:val="0"/>
              <w:jc w:val="right"/>
              <w:rPr>
                <w:rFonts w:ascii="Century Gothic" w:eastAsia="Century Gothic" w:hAnsi="Century Gothic" w:cs="Century Gothic"/>
                <w:b/>
                <w:sz w:val="48"/>
                <w:szCs w:val="48"/>
              </w:rPr>
            </w:pPr>
            <w:r>
              <w:rPr>
                <w:rFonts w:ascii="Century Gothic" w:eastAsia="Century Gothic" w:hAnsi="Century Gothic" w:cs="Century Gothic"/>
                <w:b/>
                <w:sz w:val="48"/>
                <w:szCs w:val="48"/>
              </w:rPr>
              <w:t>Grade:</w:t>
            </w:r>
          </w:p>
        </w:tc>
        <w:tc>
          <w:tcPr>
            <w:tcW w:w="2146" w:type="dxa"/>
            <w:tcBorders>
              <w:bottom w:val="single" w:sz="4" w:space="0" w:color="000000"/>
            </w:tcBorders>
          </w:tcPr>
          <w:p w:rsidR="005A206F" w:rsidRDefault="005A206F">
            <w:pPr>
              <w:widowControl w:val="0"/>
              <w:rPr>
                <w:rFonts w:ascii="Century Gothic" w:eastAsia="Century Gothic" w:hAnsi="Century Gothic" w:cs="Century Gothic"/>
                <w:b/>
                <w:sz w:val="48"/>
                <w:szCs w:val="48"/>
              </w:rPr>
            </w:pPr>
          </w:p>
        </w:tc>
        <w:tc>
          <w:tcPr>
            <w:tcW w:w="2146" w:type="dxa"/>
          </w:tcPr>
          <w:p w:rsidR="005A206F" w:rsidRDefault="005A206F">
            <w:pPr>
              <w:widowControl w:val="0"/>
              <w:rPr>
                <w:rFonts w:ascii="Century Gothic" w:eastAsia="Century Gothic" w:hAnsi="Century Gothic" w:cs="Century Gothic"/>
                <w:b/>
                <w:sz w:val="48"/>
                <w:szCs w:val="48"/>
              </w:rPr>
            </w:pPr>
          </w:p>
        </w:tc>
      </w:tr>
    </w:tbl>
    <w:p w:rsidR="005A206F" w:rsidRDefault="005A206F">
      <w:pPr>
        <w:widowControl w:val="0"/>
        <w:rPr>
          <w:rFonts w:ascii="Century Gothic" w:eastAsia="Century Gothic" w:hAnsi="Century Gothic" w:cs="Century Gothic"/>
          <w:b/>
          <w:sz w:val="48"/>
          <w:szCs w:val="48"/>
        </w:rPr>
      </w:pPr>
    </w:p>
    <w:p w:rsidR="005A206F" w:rsidRDefault="005A206F">
      <w:pPr>
        <w:spacing w:line="480" w:lineRule="auto"/>
      </w:pPr>
    </w:p>
    <w:sectPr w:rsidR="005A206F">
      <w:headerReference w:type="default" r:id="rId26"/>
      <w:pgSz w:w="12240" w:h="15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D94" w:rsidRDefault="003E5D94">
      <w:r>
        <w:separator/>
      </w:r>
    </w:p>
  </w:endnote>
  <w:endnote w:type="continuationSeparator" w:id="0">
    <w:p w:rsidR="003E5D94" w:rsidRDefault="003E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D94" w:rsidRDefault="003E5D94">
      <w:r>
        <w:separator/>
      </w:r>
    </w:p>
  </w:footnote>
  <w:footnote w:type="continuationSeparator" w:id="0">
    <w:p w:rsidR="003E5D94" w:rsidRDefault="003E5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06F" w:rsidRDefault="003E5D94">
    <w:pPr>
      <w:tabs>
        <w:tab w:val="center" w:pos="4320"/>
        <w:tab w:val="right" w:pos="8640"/>
      </w:tabs>
    </w:pPr>
    <w:r>
      <w:tab/>
      <w:t xml:space="preserve">                                                                           </w:t>
    </w:r>
  </w:p>
  <w:tbl>
    <w:tblPr>
      <w:tblStyle w:val="a2"/>
      <w:tblW w:w="11199" w:type="dxa"/>
      <w:tblInd w:w="-1168" w:type="dxa"/>
      <w:tblBorders>
        <w:top w:val="nil"/>
        <w:left w:val="nil"/>
        <w:bottom w:val="nil"/>
        <w:right w:val="nil"/>
        <w:insideH w:val="nil"/>
        <w:insideV w:val="nil"/>
      </w:tblBorders>
      <w:tblLayout w:type="fixed"/>
      <w:tblLook w:val="0400" w:firstRow="0" w:lastRow="0" w:firstColumn="0" w:lastColumn="0" w:noHBand="0" w:noVBand="1"/>
    </w:tblPr>
    <w:tblGrid>
      <w:gridCol w:w="4537"/>
      <w:gridCol w:w="2409"/>
      <w:gridCol w:w="4253"/>
    </w:tblGrid>
    <w:tr w:rsidR="005A206F">
      <w:tc>
        <w:tcPr>
          <w:tcW w:w="4537" w:type="dxa"/>
        </w:tcPr>
        <w:p w:rsidR="005A206F" w:rsidRDefault="003E5D94">
          <w:pPr>
            <w:tabs>
              <w:tab w:val="center" w:pos="4320"/>
              <w:tab w:val="right" w:pos="8640"/>
            </w:tabs>
            <w:jc w:val="both"/>
          </w:pPr>
          <w:r>
            <w:rPr>
              <w:noProof/>
            </w:rPr>
            <w:drawing>
              <wp:inline distT="0" distB="0" distL="0" distR="0">
                <wp:extent cx="2159000" cy="482600"/>
                <wp:effectExtent l="0" t="0" r="0" b="0"/>
                <wp:docPr id="21" name="image42.png" descr="Rotman crest blue.jpg"/>
                <wp:cNvGraphicFramePr/>
                <a:graphic xmlns:a="http://schemas.openxmlformats.org/drawingml/2006/main">
                  <a:graphicData uri="http://schemas.openxmlformats.org/drawingml/2006/picture">
                    <pic:pic xmlns:pic="http://schemas.openxmlformats.org/drawingml/2006/picture">
                      <pic:nvPicPr>
                        <pic:cNvPr id="0" name="image42.png" descr="Rotman crest blue.jpg"/>
                        <pic:cNvPicPr preferRelativeResize="0"/>
                      </pic:nvPicPr>
                      <pic:blipFill>
                        <a:blip r:embed="rId1"/>
                        <a:srcRect/>
                        <a:stretch>
                          <a:fillRect/>
                        </a:stretch>
                      </pic:blipFill>
                      <pic:spPr>
                        <a:xfrm>
                          <a:off x="0" y="0"/>
                          <a:ext cx="2159000" cy="482600"/>
                        </a:xfrm>
                        <a:prstGeom prst="rect">
                          <a:avLst/>
                        </a:prstGeom>
                        <a:ln/>
                      </pic:spPr>
                    </pic:pic>
                  </a:graphicData>
                </a:graphic>
              </wp:inline>
            </w:drawing>
          </w:r>
        </w:p>
      </w:tc>
      <w:tc>
        <w:tcPr>
          <w:tcW w:w="2409" w:type="dxa"/>
        </w:tcPr>
        <w:p w:rsidR="005A206F" w:rsidRDefault="005A206F">
          <w:pPr>
            <w:tabs>
              <w:tab w:val="center" w:pos="4320"/>
              <w:tab w:val="right" w:pos="8640"/>
            </w:tabs>
          </w:pPr>
        </w:p>
      </w:tc>
      <w:tc>
        <w:tcPr>
          <w:tcW w:w="4253" w:type="dxa"/>
        </w:tcPr>
        <w:p w:rsidR="005A206F" w:rsidRDefault="003E5D94">
          <w:pPr>
            <w:tabs>
              <w:tab w:val="center" w:pos="4320"/>
              <w:tab w:val="right" w:pos="8640"/>
            </w:tabs>
            <w:jc w:val="right"/>
          </w:pPr>
          <w:r>
            <w:rPr>
              <w:noProof/>
            </w:rPr>
            <w:drawing>
              <wp:anchor distT="0" distB="0" distL="114300" distR="114300" simplePos="0" relativeHeight="251658240" behindDoc="0" locked="0" layoutInCell="1" hidden="0" allowOverlap="1">
                <wp:simplePos x="0" y="0"/>
                <wp:positionH relativeFrom="margin">
                  <wp:posOffset>3340100</wp:posOffset>
                </wp:positionH>
                <wp:positionV relativeFrom="paragraph">
                  <wp:posOffset>0</wp:posOffset>
                </wp:positionV>
                <wp:extent cx="2146300" cy="342900"/>
                <wp:effectExtent l="0" t="0" r="0" b="0"/>
                <wp:wrapSquare wrapText="bothSides" distT="0" distB="0" distL="114300" distR="114300"/>
                <wp:docPr id="1" name="image21.jpg" descr="Rotman wordmark blue.jpg"/>
                <wp:cNvGraphicFramePr/>
                <a:graphic xmlns:a="http://schemas.openxmlformats.org/drawingml/2006/main">
                  <a:graphicData uri="http://schemas.openxmlformats.org/drawingml/2006/picture">
                    <pic:pic xmlns:pic="http://schemas.openxmlformats.org/drawingml/2006/picture">
                      <pic:nvPicPr>
                        <pic:cNvPr id="0" name="image21.jpg" descr="Rotman wordmark blue.jpg"/>
                        <pic:cNvPicPr preferRelativeResize="0"/>
                      </pic:nvPicPr>
                      <pic:blipFill>
                        <a:blip r:embed="rId2"/>
                        <a:srcRect/>
                        <a:stretch>
                          <a:fillRect/>
                        </a:stretch>
                      </pic:blipFill>
                      <pic:spPr>
                        <a:xfrm>
                          <a:off x="0" y="0"/>
                          <a:ext cx="2146300" cy="342900"/>
                        </a:xfrm>
                        <a:prstGeom prst="rect">
                          <a:avLst/>
                        </a:prstGeom>
                        <a:ln/>
                      </pic:spPr>
                    </pic:pic>
                  </a:graphicData>
                </a:graphic>
              </wp:anchor>
            </w:drawing>
          </w:r>
        </w:p>
      </w:tc>
    </w:tr>
  </w:tbl>
  <w:p w:rsidR="005A206F" w:rsidRDefault="005A206F">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6F"/>
    <w:rsid w:val="00196DC0"/>
    <w:rsid w:val="003E5D94"/>
    <w:rsid w:val="005A206F"/>
    <w:rsid w:val="009E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261B"/>
  <w15:docId w15:val="{560553BF-707D-4FA6-823E-C3202C8B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aption">
    <w:name w:val="caption"/>
    <w:basedOn w:val="Normal"/>
    <w:next w:val="Normal"/>
    <w:uiPriority w:val="35"/>
    <w:unhideWhenUsed/>
    <w:qFormat/>
    <w:rsid w:val="00196DC0"/>
    <w:pPr>
      <w:pBdr>
        <w:top w:val="none" w:sz="0" w:space="0" w:color="auto"/>
        <w:left w:val="none" w:sz="0" w:space="0" w:color="auto"/>
        <w:bottom w:val="none" w:sz="0" w:space="0" w:color="auto"/>
        <w:right w:val="none" w:sz="0" w:space="0" w:color="auto"/>
        <w:between w:val="none" w:sz="0" w:space="0" w:color="auto"/>
      </w:pBdr>
      <w:spacing w:after="200"/>
    </w:pPr>
    <w:rPr>
      <w:rFonts w:eastAsiaTheme="minorEastAsia"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JHu17</b:Tag>
    <b:SourceType>JournalArticle</b:SourceType>
    <b:Guid>{1602EBC6-E0ED-40B6-8587-09864D5C79F8}</b:Guid>
    <b:Author>
      <b:Author>
        <b:NameList>
          <b:Person>
            <b:Last>J. Hull</b:Last>
            <b:First>A.</b:First>
            <b:Middle>White</b:Middle>
          </b:Person>
        </b:NameList>
      </b:Author>
    </b:Author>
    <b:Title>Optimal delta hedging for options</b:Title>
    <b:JournalName>Journal of Banking and Finance</b:JournalName>
    <b:Year>2017</b:Year>
    <b:Pages>180-190</b:Pages>
    <b:RefOrder>1</b:RefOrder>
  </b:Source>
</b:Sources>
</file>

<file path=customXml/itemProps1.xml><?xml version="1.0" encoding="utf-8"?>
<ds:datastoreItem xmlns:ds="http://schemas.openxmlformats.org/officeDocument/2006/customXml" ds:itemID="{D5C18F68-FE01-4725-B3C0-B051DC0A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Garcia</dc:creator>
  <cp:lastModifiedBy>Robinson Garcia</cp:lastModifiedBy>
  <cp:revision>2</cp:revision>
  <dcterms:created xsi:type="dcterms:W3CDTF">2018-03-02T14:43:00Z</dcterms:created>
  <dcterms:modified xsi:type="dcterms:W3CDTF">2018-03-02T14:43:00Z</dcterms:modified>
</cp:coreProperties>
</file>