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DD1" w:rsidRDefault="00090DD1" w:rsidP="00090DD1">
      <w:pPr>
        <w:pStyle w:val="Title"/>
      </w:pPr>
      <w:r>
        <w:t>Goldman</w:t>
      </w:r>
      <w:r w:rsidR="00391491">
        <w:t xml:space="preserve"> Sachs Convertible Bond Model</w:t>
      </w:r>
    </w:p>
    <w:p w:rsidR="00D36812" w:rsidRDefault="00D36812" w:rsidP="00D36812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278527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00E5" w:rsidRDefault="000400E5">
          <w:pPr>
            <w:pStyle w:val="TOCHeading"/>
          </w:pPr>
          <w:r>
            <w:t>Contents</w:t>
          </w:r>
        </w:p>
        <w:p w:rsidR="006A0F13" w:rsidRDefault="000400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425627" w:history="1">
            <w:r w:rsidR="006A0F13" w:rsidRPr="006755EE">
              <w:rPr>
                <w:rStyle w:val="Hyperlink"/>
                <w:noProof/>
              </w:rPr>
              <w:t>Goldman Model 1994: designed by Emanuel Derman</w:t>
            </w:r>
            <w:r w:rsidR="006A0F13">
              <w:rPr>
                <w:noProof/>
                <w:webHidden/>
              </w:rPr>
              <w:tab/>
            </w:r>
            <w:r w:rsidR="006A0F13">
              <w:rPr>
                <w:noProof/>
                <w:webHidden/>
              </w:rPr>
              <w:fldChar w:fldCharType="begin"/>
            </w:r>
            <w:r w:rsidR="006A0F13">
              <w:rPr>
                <w:noProof/>
                <w:webHidden/>
              </w:rPr>
              <w:instrText xml:space="preserve"> PAGEREF _Toc500425627 \h </w:instrText>
            </w:r>
            <w:r w:rsidR="006A0F13">
              <w:rPr>
                <w:noProof/>
                <w:webHidden/>
              </w:rPr>
            </w:r>
            <w:r w:rsidR="006A0F13">
              <w:rPr>
                <w:noProof/>
                <w:webHidden/>
              </w:rPr>
              <w:fldChar w:fldCharType="separate"/>
            </w:r>
            <w:r w:rsidR="006A0F13">
              <w:rPr>
                <w:noProof/>
                <w:webHidden/>
              </w:rPr>
              <w:t>1</w:t>
            </w:r>
            <w:r w:rsidR="006A0F13">
              <w:rPr>
                <w:noProof/>
                <w:webHidden/>
              </w:rPr>
              <w:fldChar w:fldCharType="end"/>
            </w:r>
          </w:hyperlink>
        </w:p>
        <w:p w:rsidR="006A0F13" w:rsidRDefault="006A0F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425628" w:history="1">
            <w:r w:rsidRPr="006755EE">
              <w:rPr>
                <w:rStyle w:val="Hyperlink"/>
                <w:noProof/>
              </w:rPr>
              <w:t>Assessment: Goldman 1994 model still valid with some caveats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_Toc500425628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0F13" w:rsidRDefault="006A0F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425629" w:history="1">
            <w:r w:rsidRPr="006755EE">
              <w:rPr>
                <w:rStyle w:val="Hyperlink"/>
                <w:noProof/>
              </w:rPr>
              <w:t>Goldman Pricing: $126.82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_Toc500425629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0F13" w:rsidRDefault="006A0F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425630" w:history="1">
            <w:r w:rsidRPr="006755EE">
              <w:rPr>
                <w:rStyle w:val="Hyperlink"/>
                <w:noProof/>
              </w:rPr>
              <w:t>RAV Pricing (FinCaD): $128.38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_Toc500425630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0E5" w:rsidRDefault="000400E5">
          <w:r>
            <w:rPr>
              <w:b/>
              <w:bCs/>
              <w:noProof/>
            </w:rPr>
            <w:fldChar w:fldCharType="end"/>
          </w:r>
        </w:p>
      </w:sdtContent>
    </w:sdt>
    <w:p w:rsidR="00747657" w:rsidRDefault="00747657" w:rsidP="00D36812"/>
    <w:p w:rsidR="00747657" w:rsidRDefault="00747657" w:rsidP="00D36812"/>
    <w:p w:rsidR="00FD075F" w:rsidRDefault="00FD075F" w:rsidP="00FD075F">
      <w:pPr>
        <w:pStyle w:val="Heading1"/>
      </w:pPr>
      <w:bookmarkStart w:id="0" w:name="_Toc500425627"/>
      <w:r>
        <w:t>Goldman Model</w:t>
      </w:r>
      <w:r w:rsidR="00952F85">
        <w:t xml:space="preserve"> 1994</w:t>
      </w:r>
      <w:r>
        <w:t xml:space="preserve">: </w:t>
      </w:r>
      <w:r w:rsidR="00952F85">
        <w:t xml:space="preserve">designed by </w:t>
      </w:r>
      <w:r>
        <w:t>Emanuel Derman</w:t>
      </w:r>
      <w:bookmarkEnd w:id="0"/>
    </w:p>
    <w:p w:rsidR="00D36812" w:rsidRPr="00D36812" w:rsidRDefault="00D36812" w:rsidP="00D36812"/>
    <w:p w:rsidR="00391491" w:rsidRDefault="00391491" w:rsidP="00391491"/>
    <w:p w:rsidR="00391491" w:rsidRDefault="00391491" w:rsidP="00391491">
      <w:r>
        <w:rPr>
          <w:noProof/>
        </w:rPr>
        <w:drawing>
          <wp:inline distT="0" distB="0" distL="0" distR="0" wp14:anchorId="5D8DED6B" wp14:editId="1DF9280E">
            <wp:extent cx="2059731" cy="21760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474" t="25556" r="30867" b="1086"/>
                    <a:stretch/>
                  </pic:blipFill>
                  <pic:spPr bwMode="auto">
                    <a:xfrm>
                      <a:off x="0" y="0"/>
                      <a:ext cx="2060013" cy="217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8654A" wp14:editId="31CECCEA">
            <wp:extent cx="2469941" cy="164360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90" t="36089" r="31840" b="8492"/>
                    <a:stretch/>
                  </pic:blipFill>
                  <pic:spPr bwMode="auto">
                    <a:xfrm>
                      <a:off x="0" y="0"/>
                      <a:ext cx="2470706" cy="164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285" w:rsidRDefault="00877285" w:rsidP="00391491"/>
    <w:p w:rsidR="009F2B8D" w:rsidRDefault="009F2B8D" w:rsidP="00391491"/>
    <w:p w:rsidR="009F2B8D" w:rsidRDefault="009F2B8D" w:rsidP="009F2B8D"/>
    <w:p w:rsidR="009F2B8D" w:rsidRDefault="009F2B8D" w:rsidP="009F2B8D">
      <w:pPr>
        <w:pStyle w:val="Heading1"/>
      </w:pPr>
      <w:bookmarkStart w:id="1" w:name="_Toc500425628"/>
      <w:r>
        <w:t xml:space="preserve">Assessment: Goldman 1994 </w:t>
      </w:r>
      <w:r>
        <w:t xml:space="preserve">model </w:t>
      </w:r>
      <w:r>
        <w:t>still valid</w:t>
      </w:r>
      <w:r>
        <w:t xml:space="preserve"> with some caveats</w:t>
      </w:r>
      <w:bookmarkEnd w:id="1"/>
    </w:p>
    <w:p w:rsidR="00392ADD" w:rsidRDefault="00392ADD" w:rsidP="009F2B8D">
      <w:r>
        <w:t>C</w:t>
      </w:r>
      <w:r>
        <w:t>onvertible bonds models are particularly complex because of the intrinsically hybrid nature of the product. They are usually issued deep out-of-the-money with a lower coupon and present attractive feature for both issuer (generally subordinate debt, lower coupons) and investor (higher yield, option to own company equity in case of substantial appreciation).</w:t>
      </w:r>
    </w:p>
    <w:p w:rsidR="009F2B8D" w:rsidRDefault="009F2B8D" w:rsidP="009F2B8D">
      <w:r>
        <w:lastRenderedPageBreak/>
        <w:t>Although very old, Goldman 1994 model still gives a reasonably good valuation of convertible bonds</w:t>
      </w:r>
      <w:r w:rsidR="00E45351">
        <w:t xml:space="preserve"> and corresponds to market practice</w:t>
      </w:r>
      <w:r>
        <w:t>. The percentage difference between Goldman 1994 and RAV (via FinCad pricing) is only 1.22%</w:t>
      </w:r>
      <w:r w:rsidR="00C46E0E">
        <w:t>, see valuation in the next two paragraphs.</w:t>
      </w:r>
    </w:p>
    <w:p w:rsidR="00392ADD" w:rsidRDefault="00C46E0E" w:rsidP="009F2B8D">
      <w:r>
        <w:t xml:space="preserve">Caveat: </w:t>
      </w:r>
      <w:r w:rsidR="00392ADD">
        <w:t>the model assumes that the only source of uncertainty is stock volatility, everything else being deterministic, in particular in this Goldman 1994 model:</w:t>
      </w:r>
    </w:p>
    <w:p w:rsidR="00392ADD" w:rsidRDefault="00392ADD" w:rsidP="00392ADD">
      <w:pPr>
        <w:pStyle w:val="ListParagraph"/>
        <w:numPr>
          <w:ilvl w:val="0"/>
          <w:numId w:val="1"/>
        </w:numPr>
      </w:pPr>
      <w:r>
        <w:t>Interest rates are deterministic</w:t>
      </w:r>
    </w:p>
    <w:p w:rsidR="00392ADD" w:rsidRDefault="00392ADD" w:rsidP="00392ADD">
      <w:pPr>
        <w:pStyle w:val="ListParagraph"/>
        <w:numPr>
          <w:ilvl w:val="0"/>
          <w:numId w:val="1"/>
        </w:numPr>
      </w:pPr>
      <w:r>
        <w:t>Credit spreads are deterministic</w:t>
      </w:r>
    </w:p>
    <w:p w:rsidR="00392ADD" w:rsidRDefault="00392ADD" w:rsidP="00392ADD">
      <w:r w:rsidRPr="00392ADD">
        <w:rPr>
          <w:u w:val="single"/>
        </w:rPr>
        <w:t>Assumptions a. and b. pose no problem in case the conversion option is deep-in-the-money (surely conversion to equity) or deep-out-of-the-money (straight bond)</w:t>
      </w:r>
      <w:r>
        <w:t>, because in the former case it is fair to assume your product is equivalent to an equity option fully characterized by equity volatility and in the latter case we have a cash (linear) product that does not require interest rate modeling.</w:t>
      </w:r>
    </w:p>
    <w:p w:rsidR="00392ADD" w:rsidRDefault="00392ADD" w:rsidP="00392ADD">
      <w:r w:rsidRPr="00E45351">
        <w:rPr>
          <w:u w:val="single"/>
        </w:rPr>
        <w:t>The sensitive region, whe</w:t>
      </w:r>
      <w:r w:rsidR="00E45351">
        <w:rPr>
          <w:u w:val="single"/>
        </w:rPr>
        <w:t>re more sophisticated models may be</w:t>
      </w:r>
      <w:r w:rsidRPr="00E45351">
        <w:rPr>
          <w:u w:val="single"/>
        </w:rPr>
        <w:t xml:space="preserve"> required, is in between, especially for long maturity convertibles</w:t>
      </w:r>
      <w:r>
        <w:t xml:space="preserve">: in this case </w:t>
      </w:r>
      <w:r w:rsidR="00E45351">
        <w:t>the simple Goldman 1994 may present differences w.r.t. multifactor models that take into account stochastic behavior of the interest rates.</w:t>
      </w:r>
      <w:bookmarkStart w:id="2" w:name="_GoBack"/>
      <w:bookmarkEnd w:id="2"/>
      <w:r w:rsidR="00E45351">
        <w:t xml:space="preserve"> </w:t>
      </w:r>
      <w:r>
        <w:t xml:space="preserve"> </w:t>
      </w:r>
    </w:p>
    <w:p w:rsidR="00392ADD" w:rsidRDefault="00392ADD" w:rsidP="00392ADD"/>
    <w:p w:rsidR="00392ADD" w:rsidRDefault="00392ADD" w:rsidP="009F2B8D">
      <w:r>
        <w:t xml:space="preserve"> </w:t>
      </w:r>
    </w:p>
    <w:p w:rsidR="009F2B8D" w:rsidRPr="001A3660" w:rsidRDefault="00392ADD" w:rsidP="009F2B8D">
      <w:r>
        <w:t xml:space="preserve"> </w:t>
      </w:r>
    </w:p>
    <w:p w:rsidR="009F2B8D" w:rsidRDefault="009F2B8D" w:rsidP="009F2B8D">
      <w:pPr>
        <w:rPr>
          <w:rFonts w:ascii="Verdana" w:hAnsi="Verdana"/>
          <w:color w:val="494949"/>
          <w:sz w:val="19"/>
          <w:szCs w:val="19"/>
        </w:rPr>
      </w:pPr>
    </w:p>
    <w:p w:rsidR="009F2B8D" w:rsidRDefault="009F2B8D" w:rsidP="00391491"/>
    <w:p w:rsidR="000400E5" w:rsidRDefault="000400E5" w:rsidP="008533E4">
      <w:pPr>
        <w:pStyle w:val="Heading1"/>
      </w:pPr>
    </w:p>
    <w:p w:rsidR="000400E5" w:rsidRDefault="000400E5" w:rsidP="008533E4">
      <w:pPr>
        <w:pStyle w:val="Heading1"/>
      </w:pPr>
    </w:p>
    <w:p w:rsidR="000400E5" w:rsidRDefault="000400E5" w:rsidP="008533E4">
      <w:pPr>
        <w:pStyle w:val="Heading1"/>
      </w:pPr>
    </w:p>
    <w:p w:rsidR="000400E5" w:rsidRDefault="000400E5" w:rsidP="008533E4">
      <w:pPr>
        <w:pStyle w:val="Heading1"/>
      </w:pPr>
    </w:p>
    <w:p w:rsidR="000400E5" w:rsidRDefault="000400E5" w:rsidP="008533E4">
      <w:pPr>
        <w:pStyle w:val="Heading1"/>
      </w:pPr>
    </w:p>
    <w:p w:rsidR="006A0F13" w:rsidRDefault="006A0F13" w:rsidP="006A0F13"/>
    <w:p w:rsidR="006A0F13" w:rsidRDefault="006A0F13" w:rsidP="006A0F13"/>
    <w:p w:rsidR="006A0F13" w:rsidRDefault="006A0F13" w:rsidP="006A0F13"/>
    <w:p w:rsidR="006A0F13" w:rsidRDefault="006A0F13" w:rsidP="006A0F13"/>
    <w:p w:rsidR="006A0F13" w:rsidRPr="006A0F13" w:rsidRDefault="006A0F13" w:rsidP="006A0F13"/>
    <w:p w:rsidR="00877285" w:rsidRDefault="008533E4" w:rsidP="008533E4">
      <w:pPr>
        <w:pStyle w:val="Heading1"/>
      </w:pPr>
      <w:bookmarkStart w:id="3" w:name="_Toc500425629"/>
      <w:r>
        <w:lastRenderedPageBreak/>
        <w:t>Goldman Pricing</w:t>
      </w:r>
      <w:r w:rsidR="00822607">
        <w:t>: $126.82</w:t>
      </w:r>
      <w:bookmarkEnd w:id="3"/>
    </w:p>
    <w:p w:rsidR="008533E4" w:rsidRDefault="008533E4" w:rsidP="008533E4"/>
    <w:p w:rsidR="008533E4" w:rsidRDefault="008533E4" w:rsidP="008533E4">
      <w:r>
        <w:rPr>
          <w:noProof/>
        </w:rPr>
        <w:drawing>
          <wp:inline distT="0" distB="0" distL="0" distR="0" wp14:anchorId="373DADDB" wp14:editId="173AE943">
            <wp:extent cx="2886867" cy="226863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858" t="24558" r="12561" b="3587"/>
                    <a:stretch/>
                  </pic:blipFill>
                  <pic:spPr bwMode="auto">
                    <a:xfrm>
                      <a:off x="0" y="0"/>
                      <a:ext cx="2887432" cy="2269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3E4" w:rsidRDefault="008533E4" w:rsidP="008533E4"/>
    <w:p w:rsidR="008533E4" w:rsidRDefault="008533E4" w:rsidP="008533E4"/>
    <w:p w:rsidR="008533E4" w:rsidRDefault="0078542F" w:rsidP="008533E4">
      <w:r>
        <w:rPr>
          <w:noProof/>
        </w:rPr>
        <w:drawing>
          <wp:inline distT="0" distB="0" distL="0" distR="0" wp14:anchorId="45445BF7" wp14:editId="5FC0E58C">
            <wp:extent cx="2614710" cy="23901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366" t="22725" r="13632" b="1568"/>
                    <a:stretch/>
                  </pic:blipFill>
                  <pic:spPr bwMode="auto">
                    <a:xfrm>
                      <a:off x="0" y="0"/>
                      <a:ext cx="2615305" cy="239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42F" w:rsidRDefault="0078542F" w:rsidP="008533E4"/>
    <w:p w:rsidR="0078542F" w:rsidRPr="008533E4" w:rsidRDefault="0078542F" w:rsidP="008533E4"/>
    <w:p w:rsidR="00391491" w:rsidRDefault="00092DEF" w:rsidP="003914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254057</wp:posOffset>
                </wp:positionH>
                <wp:positionV relativeFrom="paragraph">
                  <wp:posOffset>1471729</wp:posOffset>
                </wp:positionV>
                <wp:extent cx="914400" cy="480349"/>
                <wp:effectExtent l="19050" t="19050" r="19050" b="152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8034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F1082D" id="Oval 7" o:spid="_x0000_s1026" style="position:absolute;margin-left:20pt;margin-top:115.9pt;width:1in;height:37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C915861" wp14:editId="79C8D117">
            <wp:extent cx="4959752" cy="36199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091" t="23092" r="13145" b="19535"/>
                    <a:stretch/>
                  </pic:blipFill>
                  <pic:spPr bwMode="auto">
                    <a:xfrm>
                      <a:off x="0" y="0"/>
                      <a:ext cx="4984345" cy="363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491" w:rsidRPr="00391491" w:rsidRDefault="00391491" w:rsidP="00391491"/>
    <w:p w:rsidR="00090DD1" w:rsidRDefault="00090DD1" w:rsidP="00090DD1">
      <w:pPr>
        <w:pStyle w:val="Title"/>
      </w:pPr>
    </w:p>
    <w:p w:rsidR="00523ACE" w:rsidRDefault="00090DD1" w:rsidP="00523ACE">
      <w:pPr>
        <w:pStyle w:val="Heading1"/>
      </w:pPr>
      <w:r>
        <w:t xml:space="preserve"> </w:t>
      </w:r>
      <w:bookmarkStart w:id="4" w:name="_Toc500425630"/>
      <w:r w:rsidR="00523ACE">
        <w:t>RAV Pricing (FinCaD): $128.38</w:t>
      </w:r>
      <w:bookmarkEnd w:id="4"/>
    </w:p>
    <w:p w:rsidR="00523ACE" w:rsidRPr="00523ACE" w:rsidRDefault="00A15ADA" w:rsidP="00523ACE">
      <w:r>
        <w:rPr>
          <w:noProof/>
        </w:rPr>
        <w:drawing>
          <wp:inline distT="0" distB="0" distL="0" distR="0" wp14:anchorId="11A5D428" wp14:editId="7FB01851">
            <wp:extent cx="5943600" cy="2995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54" w:rsidRDefault="00A15ADA" w:rsidP="00090DD1">
      <w:pPr>
        <w:rPr>
          <w:rFonts w:ascii="Verdana" w:hAnsi="Verdana"/>
          <w:color w:val="494949"/>
          <w:sz w:val="19"/>
          <w:szCs w:val="19"/>
        </w:rPr>
      </w:pPr>
      <w:r>
        <w:rPr>
          <w:rStyle w:val="biblabel"/>
          <w:rFonts w:ascii="Verdana" w:hAnsi="Verdana"/>
          <w:color w:val="494949"/>
          <w:sz w:val="19"/>
          <w:szCs w:val="19"/>
        </w:rPr>
        <w:lastRenderedPageBreak/>
        <w:t>[3]</w:t>
      </w:r>
      <w:r>
        <w:rPr>
          <w:rStyle w:val="bibsp"/>
          <w:rFonts w:ascii="Verdana" w:hAnsi="Verdana"/>
          <w:color w:val="494949"/>
          <w:sz w:val="19"/>
          <w:szCs w:val="19"/>
        </w:rPr>
        <w:t>   </w:t>
      </w:r>
      <w:r>
        <w:rPr>
          <w:rFonts w:ascii="Verdana" w:hAnsi="Verdana"/>
          <w:color w:val="494949"/>
          <w:sz w:val="19"/>
          <w:szCs w:val="19"/>
        </w:rPr>
        <w:t> Tsiveriotis, K. and Fernandes, C. (1998), Valuing Convertible Bonds with Credit Risk, </w:t>
      </w:r>
      <w:r>
        <w:rPr>
          <w:rStyle w:val="phvro7t-"/>
          <w:rFonts w:ascii="Arial" w:hAnsi="Arial" w:cs="Arial"/>
          <w:i/>
          <w:iCs/>
          <w:color w:val="494949"/>
          <w:sz w:val="19"/>
          <w:szCs w:val="19"/>
        </w:rPr>
        <w:t>Journal</w:t>
      </w:r>
      <w:r>
        <w:rPr>
          <w:rFonts w:ascii="Verdana" w:hAnsi="Verdana"/>
          <w:color w:val="494949"/>
          <w:sz w:val="19"/>
          <w:szCs w:val="19"/>
        </w:rPr>
        <w:t> </w:t>
      </w:r>
      <w:r>
        <w:rPr>
          <w:rStyle w:val="phvro7t-"/>
          <w:rFonts w:ascii="Arial" w:hAnsi="Arial" w:cs="Arial"/>
          <w:i/>
          <w:iCs/>
          <w:color w:val="494949"/>
          <w:sz w:val="19"/>
          <w:szCs w:val="19"/>
        </w:rPr>
        <w:t>of</w:t>
      </w:r>
      <w:r>
        <w:rPr>
          <w:rFonts w:ascii="Verdana" w:hAnsi="Verdana"/>
          <w:color w:val="494949"/>
          <w:sz w:val="19"/>
          <w:szCs w:val="19"/>
        </w:rPr>
        <w:t> </w:t>
      </w:r>
      <w:r>
        <w:rPr>
          <w:rStyle w:val="phvro7t-"/>
          <w:rFonts w:ascii="Arial" w:hAnsi="Arial" w:cs="Arial"/>
          <w:i/>
          <w:iCs/>
          <w:color w:val="494949"/>
          <w:sz w:val="19"/>
          <w:szCs w:val="19"/>
        </w:rPr>
        <w:t>Fixed</w:t>
      </w:r>
      <w:r>
        <w:rPr>
          <w:rFonts w:ascii="Verdana" w:hAnsi="Verdana"/>
          <w:color w:val="494949"/>
          <w:sz w:val="19"/>
          <w:szCs w:val="19"/>
        </w:rPr>
        <w:t> </w:t>
      </w:r>
      <w:r>
        <w:rPr>
          <w:rStyle w:val="phvro7t-"/>
          <w:rFonts w:ascii="Arial" w:hAnsi="Arial" w:cs="Arial"/>
          <w:i/>
          <w:iCs/>
          <w:color w:val="494949"/>
          <w:sz w:val="19"/>
          <w:szCs w:val="19"/>
        </w:rPr>
        <w:t>Income</w:t>
      </w:r>
      <w:r>
        <w:rPr>
          <w:rFonts w:ascii="Verdana" w:hAnsi="Verdana"/>
          <w:color w:val="494949"/>
          <w:sz w:val="19"/>
          <w:szCs w:val="19"/>
        </w:rPr>
        <w:t>, </w:t>
      </w:r>
      <w:r>
        <w:rPr>
          <w:rStyle w:val="phvb7t-"/>
          <w:rFonts w:ascii="Arial" w:hAnsi="Arial" w:cs="Arial"/>
          <w:b/>
          <w:bCs/>
          <w:color w:val="494949"/>
          <w:sz w:val="19"/>
          <w:szCs w:val="19"/>
        </w:rPr>
        <w:t>8</w:t>
      </w:r>
      <w:r>
        <w:rPr>
          <w:rFonts w:ascii="Verdana" w:hAnsi="Verdana"/>
          <w:color w:val="494949"/>
          <w:sz w:val="19"/>
          <w:szCs w:val="19"/>
        </w:rPr>
        <w:t>(2): pp. 95–102.</w:t>
      </w:r>
    </w:p>
    <w:p w:rsidR="007078DF" w:rsidRDefault="007078DF" w:rsidP="00090DD1">
      <w:pPr>
        <w:rPr>
          <w:rFonts w:ascii="Verdana" w:hAnsi="Verdana"/>
          <w:color w:val="494949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4444678</wp:posOffset>
                </wp:positionH>
                <wp:positionV relativeFrom="paragraph">
                  <wp:posOffset>636439</wp:posOffset>
                </wp:positionV>
                <wp:extent cx="439445" cy="272005"/>
                <wp:effectExtent l="19050" t="19050" r="17780" b="139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445" cy="27200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8FF4E8" id="Oval 12" o:spid="_x0000_s1026" style="position:absolute;margin-left:349.95pt;margin-top:50.1pt;width:34.6pt;height:2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50C5539" wp14:editId="724F6C20">
            <wp:extent cx="5943600" cy="3155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67" w:rsidRDefault="00350667" w:rsidP="00090DD1">
      <w:pPr>
        <w:rPr>
          <w:rFonts w:ascii="Verdana" w:hAnsi="Verdana"/>
          <w:color w:val="494949"/>
          <w:sz w:val="19"/>
          <w:szCs w:val="19"/>
        </w:rPr>
      </w:pPr>
    </w:p>
    <w:p w:rsidR="00350667" w:rsidRDefault="0066020C" w:rsidP="00090DD1">
      <w:pPr>
        <w:rPr>
          <w:rFonts w:ascii="Verdana" w:hAnsi="Verdana"/>
          <w:color w:val="494949"/>
          <w:sz w:val="19"/>
          <w:szCs w:val="19"/>
        </w:rPr>
      </w:pPr>
      <w:r>
        <w:rPr>
          <w:noProof/>
        </w:rPr>
        <w:drawing>
          <wp:inline distT="0" distB="0" distL="0" distR="0" wp14:anchorId="258C6018" wp14:editId="78CCC9CF">
            <wp:extent cx="5943600" cy="31553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20C" w:rsidRDefault="0066020C" w:rsidP="00090DD1">
      <w:pPr>
        <w:rPr>
          <w:rFonts w:ascii="Verdana" w:hAnsi="Verdana"/>
          <w:color w:val="494949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117F5CC" wp14:editId="37384FF6">
            <wp:extent cx="5943600" cy="31553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60" w:rsidRDefault="001A3660" w:rsidP="00090DD1">
      <w:pPr>
        <w:rPr>
          <w:rFonts w:ascii="Verdana" w:hAnsi="Verdana"/>
          <w:color w:val="494949"/>
          <w:sz w:val="19"/>
          <w:szCs w:val="19"/>
        </w:rPr>
      </w:pPr>
    </w:p>
    <w:p w:rsidR="0066020C" w:rsidRDefault="0066020C" w:rsidP="00090DD1">
      <w:pPr>
        <w:rPr>
          <w:rFonts w:ascii="Verdana" w:hAnsi="Verdana"/>
          <w:color w:val="494949"/>
          <w:sz w:val="19"/>
          <w:szCs w:val="19"/>
        </w:rPr>
      </w:pPr>
    </w:p>
    <w:p w:rsidR="007078DF" w:rsidRDefault="007078DF" w:rsidP="00090DD1"/>
    <w:sectPr w:rsidR="007078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6FA1" w:rsidRDefault="003A6FA1" w:rsidP="00391491">
      <w:pPr>
        <w:spacing w:after="0" w:line="240" w:lineRule="auto"/>
      </w:pPr>
      <w:r>
        <w:separator/>
      </w:r>
    </w:p>
  </w:endnote>
  <w:endnote w:type="continuationSeparator" w:id="0">
    <w:p w:rsidR="003A6FA1" w:rsidRDefault="003A6FA1" w:rsidP="00391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6FA1" w:rsidRDefault="003A6FA1" w:rsidP="00391491">
      <w:pPr>
        <w:spacing w:after="0" w:line="240" w:lineRule="auto"/>
      </w:pPr>
      <w:r>
        <w:separator/>
      </w:r>
    </w:p>
  </w:footnote>
  <w:footnote w:type="continuationSeparator" w:id="0">
    <w:p w:rsidR="003A6FA1" w:rsidRDefault="003A6FA1" w:rsidP="00391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387EE0"/>
    <w:multiLevelType w:val="hybridMultilevel"/>
    <w:tmpl w:val="3D88EB7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FE1"/>
    <w:rsid w:val="00020454"/>
    <w:rsid w:val="000400E5"/>
    <w:rsid w:val="00090DD1"/>
    <w:rsid w:val="00092DEF"/>
    <w:rsid w:val="001A3660"/>
    <w:rsid w:val="002F02F9"/>
    <w:rsid w:val="00350667"/>
    <w:rsid w:val="00391491"/>
    <w:rsid w:val="00392ADD"/>
    <w:rsid w:val="003A6FA1"/>
    <w:rsid w:val="004D6D69"/>
    <w:rsid w:val="00523ACE"/>
    <w:rsid w:val="0066020C"/>
    <w:rsid w:val="006A0F13"/>
    <w:rsid w:val="007078DF"/>
    <w:rsid w:val="00747657"/>
    <w:rsid w:val="0078542F"/>
    <w:rsid w:val="007D6332"/>
    <w:rsid w:val="00822607"/>
    <w:rsid w:val="008533E4"/>
    <w:rsid w:val="00870EE8"/>
    <w:rsid w:val="00877285"/>
    <w:rsid w:val="00952F85"/>
    <w:rsid w:val="009F2B8D"/>
    <w:rsid w:val="00A15ADA"/>
    <w:rsid w:val="00C46E0E"/>
    <w:rsid w:val="00D30FE1"/>
    <w:rsid w:val="00D36812"/>
    <w:rsid w:val="00D52AA9"/>
    <w:rsid w:val="00E45351"/>
    <w:rsid w:val="00FD0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5DA606-55AE-4037-83C5-6E273F325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33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90D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0D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91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1491"/>
  </w:style>
  <w:style w:type="paragraph" w:styleId="Footer">
    <w:name w:val="footer"/>
    <w:basedOn w:val="Normal"/>
    <w:link w:val="FooterChar"/>
    <w:uiPriority w:val="99"/>
    <w:unhideWhenUsed/>
    <w:rsid w:val="00391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491"/>
  </w:style>
  <w:style w:type="character" w:customStyle="1" w:styleId="Heading1Char">
    <w:name w:val="Heading 1 Char"/>
    <w:basedOn w:val="DefaultParagraphFont"/>
    <w:link w:val="Heading1"/>
    <w:uiPriority w:val="9"/>
    <w:rsid w:val="008533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00E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400E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400E5"/>
    <w:rPr>
      <w:color w:val="0563C1" w:themeColor="hyperlink"/>
      <w:u w:val="single"/>
    </w:rPr>
  </w:style>
  <w:style w:type="character" w:customStyle="1" w:styleId="biblabel">
    <w:name w:val="biblabel"/>
    <w:basedOn w:val="DefaultParagraphFont"/>
    <w:rsid w:val="00A15ADA"/>
  </w:style>
  <w:style w:type="character" w:customStyle="1" w:styleId="bibsp">
    <w:name w:val="bibsp"/>
    <w:basedOn w:val="DefaultParagraphFont"/>
    <w:rsid w:val="00A15ADA"/>
  </w:style>
  <w:style w:type="character" w:customStyle="1" w:styleId="phvro7t-">
    <w:name w:val="phvro7t-"/>
    <w:basedOn w:val="DefaultParagraphFont"/>
    <w:rsid w:val="00A15ADA"/>
  </w:style>
  <w:style w:type="character" w:customStyle="1" w:styleId="phvb7t-">
    <w:name w:val="phvb7t-"/>
    <w:basedOn w:val="DefaultParagraphFont"/>
    <w:rsid w:val="00A15ADA"/>
  </w:style>
  <w:style w:type="paragraph" w:styleId="ListParagraph">
    <w:name w:val="List Paragraph"/>
    <w:basedOn w:val="Normal"/>
    <w:uiPriority w:val="34"/>
    <w:qFormat/>
    <w:rsid w:val="00392A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B59FD-5CAC-42FE-93F1-2E9A3209C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2392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Strepparava, Roberto</dc:creator>
  <cp:keywords/>
  <dc:description/>
  <cp:lastModifiedBy>Strepparava, Roberto</cp:lastModifiedBy>
  <cp:revision>27</cp:revision>
  <dcterms:created xsi:type="dcterms:W3CDTF">2017-12-07T17:38:00Z</dcterms:created>
  <dcterms:modified xsi:type="dcterms:W3CDTF">2017-12-07T20:59:00Z</dcterms:modified>
</cp:coreProperties>
</file>