
<file path=[Content_Types].xml><?xml version="1.0" encoding="utf-8"?>
<Types xmlns="http://schemas.openxmlformats.org/package/2006/content-types">
  <Default Extension="svg" ContentType="image/svg+xml"/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0.xml" ContentType="application/vnd.openxmlformats-officedocument.wordprocessingml.footer+xml"/>
  <Override PartName="/word/footer29.xml" ContentType="application/vnd.openxmlformats-officedocument.wordprocessingml.footer+xml"/>
  <Override PartName="/word/footer28.xml" ContentType="application/vnd.openxmlformats-officedocument.wordprocessingml.footer+xml"/>
  <Override PartName="/word/footer26.xml" ContentType="application/vnd.openxmlformats-officedocument.wordprocessingml.footer+xml"/>
  <Override PartName="/word/footer25.xml" ContentType="application/vnd.openxmlformats-officedocument.wordprocessingml.footer+xml"/>
  <Override PartName="/word/footer18.xml" ContentType="application/vnd.openxmlformats-officedocument.wordprocessingml.footer+xml"/>
  <Override PartName="/word/footer17.xml" ContentType="application/vnd.openxmlformats-officedocument.wordprocessingml.footer+xml"/>
  <Override PartName="/word/footer13.xml" ContentType="application/vnd.openxmlformats-officedocument.wordprocessingml.footer+xml"/>
  <Override PartName="/word/footer19.xml" ContentType="application/vnd.openxmlformats-officedocument.wordprocessingml.footer+xml"/>
  <Override PartName="/word/footer12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11.xml" ContentType="application/vnd.openxmlformats-officedocument.wordprocessingml.footer+xml"/>
  <Override PartName="/word/footer14.xml" ContentType="application/vnd.openxmlformats-officedocument.wordprocessingml.footer+xml"/>
  <Override PartName="/word/footer8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0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footer16.xml" ContentType="application/vnd.openxmlformats-officedocument.wordprocessingml.footer+xml"/>
  <Override PartName="/word/header27.xml" ContentType="application/vnd.openxmlformats-officedocument.wordprocessingml.header+xml"/>
  <Override PartName="/word/footer7.xml" ContentType="application/vnd.openxmlformats-officedocument.wordprocessingml.footer+xml"/>
  <Override PartName="/word/header26.xml" ContentType="application/vnd.openxmlformats-officedocument.wordprocessingml.header+xml"/>
  <Override PartName="/word/header25.xml" ContentType="application/vnd.openxmlformats-officedocument.wordprocessingml.header+xml"/>
  <Override PartName="/word/header31.xml" ContentType="application/vnd.openxmlformats-officedocument.wordprocessingml.head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header23.xml" ContentType="application/vnd.openxmlformats-officedocument.wordprocessingml.header+xml"/>
  <Override PartName="/word/header20.xml" ContentType="application/vnd.openxmlformats-officedocument.wordprocessingml.header+xml"/>
  <Override PartName="/word/header14.xml" ContentType="application/vnd.openxmlformats-officedocument.wordprocessingml.header+xml"/>
  <Override PartName="/word/footer10.xml" ContentType="application/vnd.openxmlformats-officedocument.wordprocessingml.footer+xml"/>
  <Override PartName="/word/header13.xml" ContentType="application/vnd.openxmlformats-officedocument.wordprocessingml.header+xml"/>
  <Override PartName="/word/header21.xml" ContentType="application/vnd.openxmlformats-officedocument.wordprocessingml.header+xml"/>
  <Override PartName="/word/footer20.xml" ContentType="application/vnd.openxmlformats-officedocument.wordprocessingml.footer+xml"/>
  <Override PartName="/word/footer31.xml" ContentType="application/vnd.openxmlformats-officedocument.wordprocessingml.footer+xml"/>
  <Override PartName="/word/header12.xml" ContentType="application/vnd.openxmlformats-officedocument.wordprocessingml.header+xml"/>
  <Override PartName="/word/header16.xml" ContentType="application/vnd.openxmlformats-officedocument.wordprocessingml.header+xml"/>
  <Override PartName="/word/header10.xml" ContentType="application/vnd.openxmlformats-officedocument.wordprocessingml.header+xml"/>
  <Override PartName="/word/footer15.xml" ContentType="application/vnd.openxmlformats-officedocument.wordprocessingml.footer+xml"/>
  <Override PartName="/word/header18.xml" ContentType="application/vnd.openxmlformats-officedocument.wordprocessingml.header+xml"/>
  <Override PartName="/word/header8.xml" ContentType="application/vnd.openxmlformats-officedocument.wordprocessingml.header+xml"/>
  <Override PartName="/word/header5.xml" ContentType="application/vnd.openxmlformats-officedocument.wordprocessingml.header+xml"/>
  <Override PartName="/word/footer27.xml" ContentType="application/vnd.openxmlformats-officedocument.wordprocessingml.footer+xml"/>
  <Override PartName="/word/footer2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1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9.xml" ContentType="application/vnd.openxmlformats-officedocument.wordprocessingml.footer+xml"/>
  <Override PartName="/word/endnotes.xml" ContentType="application/vnd.openxmlformats-officedocument.wordprocessingml.endnotes+xml"/>
  <Override PartName="/word/header9.xml" ContentType="application/vnd.openxmlformats-officedocument.wordprocessingml.head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19.xml" ContentType="application/vnd.openxmlformats-officedocument.wordprocessingml.header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header17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header22.xml" ContentType="application/vnd.openxmlformats-officedocument.wordprocessingml.header+xml"/>
  <Override PartName="/word/styles.xml" ContentType="application/vnd.openxmlformats-officedocument.wordprocessingml.styles+xml"/>
  <Override PartName="/word/header15.xml" ContentType="application/vnd.openxmlformats-officedocument.wordprocessingml.head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1889"/>
        <w:jc w:val="left"/>
        <w:tabs>
          <w:tab w:val="clear" w:pos="709" w:leader="none"/>
          <w:tab w:val="left" w:pos="1843" w:leader="none"/>
        </w:tabs>
        <w:rPr>
          <w:sz w:val="28"/>
          <w:szCs w:val="28"/>
          <w:highlight w:val="none"/>
        </w:rPr>
      </w:pPr>
      <w:r/>
      <w:bookmarkStart w:id="0" w:name="_Toc479489381"/>
      <w:r/>
      <w:bookmarkStart w:id="1" w:name="_Toc479045154"/>
      <w:r/>
      <w:bookmarkEnd w:id="0"/>
      <w:r/>
      <w:bookmarkEnd w:id="1"/>
      <w:r>
        <w:rPr>
          <w:sz w:val="28"/>
          <w:szCs w:val="28"/>
        </w:rPr>
        <w:tab/>
        <w:t xml:space="preserve">      </w:t>
      </w:r>
      <w:r>
        <w:rPr>
          <w:sz w:val="28"/>
          <w:szCs w:val="28"/>
          <w:highlight w:val="none"/>
        </w:rPr>
      </w:r>
    </w:p>
    <w:p>
      <w:pPr>
        <w:pStyle w:val="1889"/>
        <w:jc w:val="center"/>
        <w:tabs>
          <w:tab w:val="clear" w:pos="709" w:leader="none"/>
          <w:tab w:val="left" w:pos="1843" w:leader="none"/>
        </w:tabs>
        <w:rPr>
          <w:rFonts w:ascii="Times New Roman" w:hAnsi="Times New Roman" w:eastAsia="Times New Roman" w:cs="Times New Roman"/>
          <w:color w:val="auto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eastAsia="ru-RU" w:bidi="ar-SA"/>
        </w:rPr>
        <w:t xml:space="preserve">ТЕХНОЛОГИЧЕСКИЙ РЕГЛАМЕНТ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 w:eastAsia="ru-RU" w:bidi="ar-SA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 w:eastAsia="ru-RU" w:bidi="ar-SA"/>
        </w:rPr>
      </w:r>
    </w:p>
    <w:p>
      <w:pPr>
        <w:pStyle w:val="1889"/>
        <w:jc w:val="center"/>
        <w:tabs>
          <w:tab w:val="clear" w:pos="709" w:leader="none"/>
          <w:tab w:val="left" w:pos="1843" w:leader="none"/>
        </w:tabs>
        <w:rPr>
          <w:rFonts w:ascii="Times New Roman" w:hAnsi="Times New Roman" w:eastAsia="Times New Roman" w:cs="Times New Roman"/>
          <w:color w:val="auto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eastAsia="ru-RU" w:bidi="ar-SA"/>
        </w:rPr>
        <w:t xml:space="preserve">ЭКСПЛУАТАЦИИ ОПАСНОГО ПРОИЗВОДСТВЕННОГО ОБЪЕКТА «ФОНД СКВАЖИН ГАЗОВОГО ПРОМЫСЛА »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 w:eastAsia="ru-RU" w:bidi="ar-SA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 w:eastAsia="ru-RU" w:bidi="ar-SA"/>
        </w:rPr>
      </w:r>
    </w:p>
    <w:p>
      <w:pPr>
        <w:pStyle w:val="1889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ru-RU" w:eastAsia="ru-RU" w:bidi="ar-SA"/>
        </w:rPr>
      </w:pPr>
      <w:r>
        <w:rPr>
          <w:rFonts w:eastAsia="Times New Roman" w:cs="Times New Roman"/>
          <w:color w:val="auto"/>
          <w:sz w:val="28"/>
          <w:szCs w:val="28"/>
          <w:lang w:val="ru-RU" w:eastAsia="ru-RU" w:bidi="ar-SA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 w:eastAsia="ru-RU" w:bidi="ar-SA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 w:eastAsia="ru-RU" w:bidi="ar-SA"/>
        </w:rPr>
      </w:r>
    </w:p>
    <w:p>
      <w:pPr>
        <w:sectPr>
          <w:footnotePr/>
          <w:endnotePr/>
          <w:type w:val="nextPage"/>
          <w:pgSz w:w="11906" w:h="16838" w:orient="portrait"/>
          <w:pgMar w:top="426" w:right="567" w:bottom="1134" w:left="1701" w:header="0" w:footer="0" w:gutter="0"/>
          <w:pgNumType w:start="1"/>
          <w:cols w:num="1" w:sep="0" w:space="708" w:equalWidth="1"/>
          <w:docGrid w:linePitch="360"/>
        </w:sectPr>
      </w:pPr>
      <w:r/>
      <w:r/>
    </w:p>
    <w:p>
      <w:pPr>
        <w:pStyle w:val="2166"/>
        <w:spacing w:before="0" w:after="0" w:line="360" w:lineRule="auto"/>
      </w:pPr>
      <w:r>
        <w:t xml:space="preserve">СОДЕРЖАНИЕ</w:t>
      </w:r>
      <w:r/>
    </w:p>
    <w:p>
      <w:pPr>
        <w:pStyle w:val="2166"/>
        <w:jc w:val="left"/>
        <w:spacing w:before="0" w:after="0" w:line="360" w:lineRule="auto"/>
        <w:rPr>
          <w:b w:val="0"/>
        </w:rPr>
      </w:pPr>
      <w:r>
        <w:rPr>
          <w:b w:val="0"/>
        </w:rPr>
      </w:r>
      <w:r>
        <w:rPr>
          <w:b w:val="0"/>
        </w:rPr>
      </w:r>
      <w:r>
        <w:rPr>
          <w:b w:val="0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>
            <w:fldChar w:fldCharType="begin"/>
          </w:r>
          <w:r>
            <w:rPr>
              <w:rStyle w:val="1997"/>
              <w:vanish w:val="0"/>
            </w:rPr>
            <w:instrText xml:space="preserve"> TOC \z \o "1-3" \u \h</w:instrText>
          </w:r>
          <w:r>
            <w:rPr>
              <w:rStyle w:val="1997"/>
              <w:vanish w:val="0"/>
            </w:rPr>
            <w:fldChar w:fldCharType="separate"/>
          </w:r>
          <w:hyperlink w:tooltip="#_Toc13992407" w:anchor="_Toc13992407" w:history="1">
            <w:r>
              <w:rPr>
                <w:rStyle w:val="1997"/>
                <w:vanish w:val="0"/>
              </w:rPr>
              <w:t xml:space="preserve">ПЕРЕЧЕНЬ СОКРАЩЕНИЙ</w:t>
            </w:r>
            <w:r>
              <w:fldChar w:fldCharType="begin"/>
            </w:r>
            <w:r>
              <w:instrText xml:space="preserve">PAGEREF _Toc13992407 \h</w:instrText>
            </w:r>
            <w:r>
              <w:fldChar w:fldCharType="separate"/>
            </w:r>
            <w:r>
              <w:rPr>
                <w:rStyle w:val="1997"/>
                <w:vanish w:val="0"/>
              </w:rPr>
              <w:tab/>
              <w:t xml:space="preserve">5</w:t>
            </w:r>
            <w:r>
              <w:fldChar w:fldCharType="end"/>
            </w:r>
          </w:hyperlink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</w:pPr>
          <w:r/>
          <w:hyperlink w:tooltip="#_Toc13992408" w:anchor="_Toc13992408" w:history="1">
            <w:r>
              <w:rPr>
                <w:rStyle w:val="1997"/>
                <w:bCs/>
                <w:vanish w:val="0"/>
              </w:rPr>
              <w:t xml:space="preserve">ОБЩИЕ ПОЛОЖЕНИЯ</w:t>
            </w:r>
            <w:r>
              <w:fldChar w:fldCharType="begin"/>
            </w:r>
            <w:r>
              <w:instrText xml:space="preserve">PAGEREF _Toc13992408 \h</w:instrText>
            </w:r>
            <w:r>
              <w:fldChar w:fldCharType="separate"/>
            </w:r>
            <w:r>
              <w:rPr>
                <w:rStyle w:val="1997"/>
                <w:vanish w:val="0"/>
              </w:rPr>
              <w:tab/>
              <w:t xml:space="preserve">6</w:t>
            </w:r>
            <w:r>
              <w:fldChar w:fldCharType="end"/>
            </w:r>
          </w:hyperlink>
          <w:r/>
          <w:r/>
        </w:p>
        <w:p>
          <w:pPr>
            <w:pStyle w:val="1889"/>
            <w:rPr>
              <w:rFonts w:eastAsia="Arial" w:eastAsiaTheme="minorEastAsia"/>
            </w:rPr>
          </w:pPr>
          <w:r>
            <w:rPr>
              <w:rFonts w:eastAsia="Arial" w:eastAsiaTheme="minorEastAsia"/>
            </w:rPr>
          </w:r>
          <w:r>
            <w:rPr>
              <w:rFonts w:eastAsia="Arial" w:eastAsiaTheme="minorEastAsia"/>
            </w:rPr>
          </w:r>
          <w:r>
            <w:rPr>
              <w:rFonts w:eastAsia="Arial" w:eastAsiaTheme="minorEastAsia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09" w:anchor="_Toc13992409" w:history="1">
            <w:r>
              <w:rPr>
                <w:rStyle w:val="1997"/>
                <w:bCs/>
                <w:vanish w:val="0"/>
              </w:rPr>
              <w:t xml:space="preserve">1 ОБЩАЯ ХАРАКТЕРИСТИКА ПРОИЗВОДСТВЕННОГО ОБЪЕКТА</w:t>
            </w:r>
            <w:r>
              <w:fldChar w:fldCharType="begin"/>
            </w:r>
            <w:r>
              <w:instrText xml:space="preserve">PAGEREF _Toc13992409 \h</w:instrText>
            </w:r>
            <w:r>
              <w:fldChar w:fldCharType="separate"/>
            </w:r>
            <w:r>
              <w:rPr>
                <w:rStyle w:val="1997"/>
                <w:vanish w:val="0"/>
              </w:rPr>
              <w:tab/>
              <w:t xml:space="preserve">8</w:t>
            </w:r>
            <w:r>
              <w:fldChar w:fldCharType="end"/>
            </w:r>
          </w:hyperlink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10" w:anchor="_Toc13992410" w:history="1">
            <w:r>
              <w:rPr>
                <w:rStyle w:val="1997"/>
                <w:bCs/>
                <w:vanish w:val="0"/>
              </w:rPr>
              <w:t xml:space="preserve">1.1 Общие сведения о месторождении</w:t>
            </w:r>
            <w:r>
              <w:fldChar w:fldCharType="begin"/>
            </w:r>
            <w:r>
              <w:instrText xml:space="preserve">PAGEREF _Toc13992410 \h</w:instrText>
            </w:r>
            <w:r>
              <w:fldChar w:fldCharType="separate"/>
            </w:r>
            <w:r>
              <w:rPr>
                <w:rStyle w:val="1997"/>
                <w:vanish w:val="0"/>
              </w:rPr>
              <w:tab/>
              <w:t xml:space="preserve">8</w:t>
            </w:r>
            <w:r>
              <w:fldChar w:fldCharType="end"/>
            </w:r>
          </w:hyperlink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</w:pPr>
          <w:r/>
          <w:hyperlink w:tooltip="#_Toc13992411" w:anchor="_Toc13992411" w:history="1">
            <w:r>
              <w:rPr>
                <w:rStyle w:val="1997"/>
                <w:bCs/>
                <w:vanish w:val="0"/>
              </w:rPr>
              <w:t xml:space="preserve">1.2 Добыча газа</w:t>
            </w:r>
            <w:r>
              <w:fldChar w:fldCharType="begin"/>
            </w:r>
            <w:r>
              <w:instrText xml:space="preserve">PAGEREF _Toc13992411 \h</w:instrText>
            </w:r>
            <w:r>
              <w:fldChar w:fldCharType="separate"/>
            </w:r>
            <w:r>
              <w:rPr>
                <w:rStyle w:val="1997"/>
                <w:vanish w:val="0"/>
              </w:rPr>
              <w:tab/>
              <w:t xml:space="preserve">9</w:t>
            </w:r>
            <w:r>
              <w:fldChar w:fldCharType="end"/>
            </w:r>
          </w:hyperlink>
          <w:r/>
          <w:r/>
        </w:p>
        <w:p>
          <w:pPr>
            <w:pStyle w:val="1889"/>
            <w:spacing w:line="360" w:lineRule="auto"/>
            <w:rPr>
              <w:rFonts w:eastAsia="Arial" w:eastAsiaTheme="minorEastAsia"/>
              <w:lang w:val="en-US"/>
            </w:rPr>
          </w:pP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12" w:anchor="_Toc13992412" w:history="1">
            <w:r>
              <w:rPr>
                <w:rStyle w:val="1997"/>
                <w:bCs/>
                <w:vanish w:val="0"/>
              </w:rPr>
              <w:t xml:space="preserve">2 ХАРАКТЕРИСТИКА ИСХОДНОГО СЫРЬЯ, МАТЕРИАЛОВ, РЕАГЕНТОВ И ИЗГОТОВЛЯЕМОЙ ПРОДУКЦИИ</w:t>
            </w:r>
            <w:r>
              <w:fldChar w:fldCharType="begin"/>
            </w:r>
            <w:r>
              <w:instrText xml:space="preserve">PAGEREF _Toc13992412 \h</w:instrText>
            </w:r>
            <w:r>
              <w:fldChar w:fldCharType="separate"/>
            </w:r>
            <w:r>
              <w:rPr>
                <w:rStyle w:val="1997"/>
                <w:vanish w:val="0"/>
              </w:rPr>
              <w:tab/>
              <w:t xml:space="preserve">11</w:t>
            </w:r>
            <w:r>
              <w:fldChar w:fldCharType="end"/>
            </w:r>
          </w:hyperlink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13" w:anchor="_Toc13992413" w:history="1">
            <w:r>
              <w:rPr>
                <w:rStyle w:val="1997"/>
                <w:bCs/>
                <w:vanish w:val="0"/>
              </w:rPr>
              <w:t xml:space="preserve">2.1 Состав и свойства пластового газа, поступающего на УКПГ</w:t>
            </w:r>
            <w:r>
              <w:fldChar w:fldCharType="begin"/>
            </w:r>
            <w:r>
              <w:instrText xml:space="preserve">PAGEREF _Toc13992413 \h</w:instrText>
            </w:r>
            <w:r>
              <w:fldChar w:fldCharType="separate"/>
            </w:r>
            <w:r>
              <w:rPr>
                <w:rStyle w:val="1997"/>
                <w:vanish w:val="0"/>
              </w:rPr>
              <w:tab/>
              <w:t xml:space="preserve">11</w:t>
            </w:r>
            <w:r>
              <w:fldChar w:fldCharType="end"/>
            </w:r>
          </w:hyperlink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15" w:anchor="_Toc13992415" w:history="1">
            <w:r>
              <w:rPr>
                <w:rStyle w:val="1997"/>
                <w:bCs/>
                <w:vanish w:val="0"/>
              </w:rPr>
              <w:t xml:space="preserve">2.2 Состав и свойства пластовых вод</w:t>
            </w:r>
            <w:r>
              <w:fldChar w:fldCharType="begin"/>
            </w:r>
            <w:r>
              <w:instrText xml:space="preserve">PAGEREF _Toc13992415 \h</w:instrText>
            </w:r>
            <w:r>
              <w:fldChar w:fldCharType="separate"/>
            </w:r>
            <w:r>
              <w:rPr>
                <w:rStyle w:val="1997"/>
                <w:vanish w:val="0"/>
              </w:rPr>
              <w:tab/>
              <w:t xml:space="preserve">12</w:t>
            </w:r>
            <w:r>
              <w:fldChar w:fldCharType="end"/>
            </w:r>
          </w:hyperlink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lang w:val="en-US"/>
            </w:rPr>
          </w:pPr>
          <w:r/>
          <w:hyperlink w:tooltip="#_Toc13992416" w:anchor="_Toc13992416" w:history="1">
            <w:r>
              <w:rPr>
                <w:rStyle w:val="1997"/>
                <w:bCs/>
                <w:vanish w:val="0"/>
              </w:rPr>
              <w:t xml:space="preserve">2.3 Характеристика вспомогательных реагентов</w:t>
            </w:r>
            <w:r>
              <w:fldChar w:fldCharType="begin"/>
            </w:r>
            <w:r>
              <w:instrText xml:space="preserve">PAGEREF _Toc13992416 \h</w:instrText>
            </w:r>
            <w:r>
              <w:fldChar w:fldCharType="separate"/>
            </w:r>
            <w:r>
              <w:rPr>
                <w:rStyle w:val="1997"/>
                <w:vanish w:val="0"/>
              </w:rPr>
              <w:tab/>
              <w:t xml:space="preserve">13</w:t>
            </w:r>
            <w:r>
              <w:fldChar w:fldCharType="end"/>
            </w:r>
          </w:hyperlink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Style w:val="1889"/>
            <w:spacing w:line="360" w:lineRule="auto"/>
            <w:rPr>
              <w:rFonts w:eastAsia="Arial" w:eastAsiaTheme="minorEastAsia"/>
              <w:lang w:val="en-US"/>
            </w:rPr>
          </w:pP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</w:p>
        <w:p>
          <w:pPr>
            <w:pStyle w:val="2014"/>
            <w:ind w:left="0" w:right="849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17" w:anchor="_Toc13992417" w:history="1">
            <w:r>
              <w:rPr>
                <w:rStyle w:val="1997"/>
                <w:bCs/>
                <w:vanish w:val="0"/>
              </w:rPr>
              <w:t xml:space="preserve">3 ОПИСАНИЕ ТЕХНОЛОГИЧЕСКОГО ПРОЦЕССА И ТЕХНОЛОГИЧЕСКОЙ СХЕМЫ ПРОИЗВОДСТВЕННОГО ОБЪЕКТА</w:t>
            </w:r>
            <w:r>
              <w:rPr>
                <w:rStyle w:val="1997"/>
                <w:vanish w:val="0"/>
              </w:rPr>
              <w:tab/>
              <w:t xml:space="preserve">1</w:t>
            </w:r>
          </w:hyperlink>
          <w:r>
            <w:t xml:space="preserve">4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18" w:anchor="_Toc13992418" w:history="1">
            <w:r>
              <w:rPr>
                <w:rStyle w:val="1997"/>
                <w:bCs/>
                <w:vanish w:val="0"/>
              </w:rPr>
              <w:t xml:space="preserve">3.1 Фонд скважин Газового промысла №                    месторождения.</w:t>
            </w:r>
            <w:r>
              <w:fldChar w:fldCharType="begin"/>
            </w:r>
            <w:r>
              <w:instrText xml:space="preserve">PAGEREF _Toc13992418 \h</w:instrText>
            </w:r>
            <w:r>
              <w:fldChar w:fldCharType="separate"/>
            </w:r>
            <w:r>
              <w:rPr>
                <w:rStyle w:val="1997"/>
                <w:vanish w:val="0"/>
              </w:rPr>
              <w:tab/>
              <w:t xml:space="preserve">14</w:t>
            </w:r>
            <w:r>
              <w:fldChar w:fldCharType="end"/>
            </w:r>
          </w:hyperlink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</w:pPr>
          <w:r/>
          <w:hyperlink w:tooltip="#_Toc13992418" w:anchor="_Toc13992418" w:history="1">
            <w:r>
              <w:rPr>
                <w:rStyle w:val="1997"/>
                <w:bCs/>
                <w:vanish w:val="0"/>
              </w:rPr>
              <w:t xml:space="preserve">3.2 </w:t>
            </w:r>
            <w:r>
              <w:rPr>
                <w:rStyle w:val="1997"/>
                <w:color w:val="000000"/>
              </w:rPr>
              <w:t xml:space="preserve">Телеметрия и телемеханика</w:t>
            </w:r>
            <w:r>
              <w:rPr>
                <w:rStyle w:val="1997"/>
                <w:bCs/>
              </w:rPr>
              <w:t xml:space="preserve">.</w:t>
            </w:r>
            <w:r>
              <w:rPr>
                <w:rStyle w:val="1997"/>
                <w:vanish w:val="0"/>
              </w:rPr>
              <w:tab/>
            </w:r>
          </w:hyperlink>
          <w:r>
            <w:t xml:space="preserve">25</w:t>
          </w:r>
          <w:r/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18" w:anchor="_Toc13992418" w:history="1">
            <w:r>
              <w:rPr>
                <w:rStyle w:val="1997"/>
                <w:bCs/>
                <w:vanish w:val="0"/>
              </w:rPr>
              <w:t xml:space="preserve">3.</w:t>
            </w:r>
            <w:r>
              <w:rPr>
                <w:rStyle w:val="1997"/>
                <w:bCs/>
                <w:lang w:val="en-US"/>
              </w:rPr>
              <w:t xml:space="preserve">3</w:t>
            </w:r>
            <w:r>
              <w:rPr>
                <w:rStyle w:val="1997"/>
                <w:bCs/>
              </w:rPr>
              <w:t xml:space="preserve"> </w:t>
            </w:r>
            <w:r>
              <w:rPr>
                <w:rStyle w:val="1997"/>
                <w:szCs w:val="24"/>
              </w:rPr>
              <w:t xml:space="preserve">Предупреждение гидратообразования</w:t>
            </w:r>
            <w:r>
              <w:rPr>
                <w:rStyle w:val="1997"/>
                <w:bCs/>
              </w:rPr>
              <w:t xml:space="preserve">.</w:t>
            </w:r>
            <w:r>
              <w:rPr>
                <w:rStyle w:val="1997"/>
                <w:vanish w:val="0"/>
              </w:rPr>
              <w:tab/>
            </w:r>
          </w:hyperlink>
          <w:r>
            <w:t xml:space="preserve">25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18" w:anchor="_Toc13992418" w:history="1">
            <w:r>
              <w:rPr>
                <w:rStyle w:val="1997"/>
                <w:bCs/>
                <w:vanish w:val="0"/>
              </w:rPr>
              <w:t xml:space="preserve">3.4 </w:t>
            </w:r>
            <w:r>
              <w:rPr>
                <w:rStyle w:val="1997"/>
                <w:color w:val="000000"/>
              </w:rPr>
              <w:t xml:space="preserve">Эксплуатация скважин с межколонным давлением</w:t>
            </w:r>
            <w:r>
              <w:rPr>
                <w:rStyle w:val="1997"/>
                <w:bCs/>
              </w:rPr>
              <w:t xml:space="preserve">.</w:t>
            </w:r>
            <w:r>
              <w:rPr>
                <w:rStyle w:val="1997"/>
                <w:vanish w:val="0"/>
              </w:rPr>
              <w:tab/>
            </w:r>
          </w:hyperlink>
          <w:r>
            <w:t xml:space="preserve">26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18" w:anchor="_Toc13992418" w:history="1">
            <w:r>
              <w:rPr>
                <w:rStyle w:val="1997"/>
                <w:bCs/>
                <w:vanish w:val="0"/>
              </w:rPr>
              <w:t xml:space="preserve">3.5 </w:t>
            </w:r>
            <w:r>
              <w:rPr>
                <w:rStyle w:val="1997"/>
                <w:szCs w:val="24"/>
              </w:rPr>
              <w:t xml:space="preserve">Исследование газовых скважин</w:t>
            </w:r>
            <w:r>
              <w:rPr>
                <w:rStyle w:val="1997"/>
                <w:bCs/>
              </w:rPr>
              <w:t xml:space="preserve">.</w:t>
            </w:r>
            <w:r>
              <w:rPr>
                <w:rStyle w:val="1997"/>
                <w:vanish w:val="0"/>
              </w:rPr>
              <w:tab/>
            </w:r>
          </w:hyperlink>
          <w:r>
            <w:t xml:space="preserve">28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1889"/>
            <w:spacing w:line="360" w:lineRule="auto"/>
            <w:rPr>
              <w:rFonts w:eastAsia="Arial" w:eastAsiaTheme="minorEastAsia"/>
            </w:rPr>
          </w:pPr>
          <w:r>
            <w:rPr>
              <w:rFonts w:eastAsia="Arial" w:eastAsiaTheme="minorEastAsia"/>
            </w:rPr>
          </w:r>
          <w:r>
            <w:rPr>
              <w:rFonts w:eastAsia="Arial" w:eastAsiaTheme="minorEastAsia"/>
            </w:rPr>
          </w:r>
          <w:r>
            <w:rPr>
              <w:rFonts w:eastAsia="Arial" w:eastAsiaTheme="minorEastAsia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lang w:val="en-US"/>
            </w:rPr>
          </w:pPr>
          <w:r/>
          <w:hyperlink w:tooltip="#_Toc13992420" w:anchor="_Toc13992420" w:history="1">
            <w:r>
              <w:rPr>
                <w:rStyle w:val="1997"/>
                <w:bCs/>
                <w:vanish w:val="0"/>
              </w:rPr>
              <w:t xml:space="preserve">4. НОРМЫ ТЕХНОЛОГИЧЕСКОГО РЕЖИМА</w:t>
            </w:r>
            <w:r>
              <w:rPr>
                <w:rStyle w:val="1997"/>
                <w:vanish w:val="0"/>
              </w:rPr>
              <w:tab/>
            </w:r>
          </w:hyperlink>
          <w:r>
            <w:t xml:space="preserve">30</w: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Style w:val="1889"/>
            <w:spacing w:line="360" w:lineRule="auto"/>
            <w:rPr>
              <w:rFonts w:eastAsia="Arial" w:eastAsiaTheme="minorEastAsia"/>
              <w:lang w:val="en-US"/>
            </w:rPr>
          </w:pP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lang w:val="en-US"/>
            </w:rPr>
          </w:pPr>
          <w:r/>
          <w:hyperlink w:tooltip="#_Toc13992421" w:anchor="_Toc13992421" w:history="1">
            <w:r>
              <w:rPr>
                <w:rStyle w:val="1997"/>
                <w:bCs/>
                <w:vanish w:val="0"/>
              </w:rPr>
              <w:t xml:space="preserve">5 КОНТРОЛЬ ТЕХНОЛОГИЧЕСКОГО ПРОЦЕССА</w:t>
            </w:r>
            <w:r>
              <w:rPr>
                <w:rStyle w:val="1997"/>
                <w:vanish w:val="0"/>
              </w:rPr>
              <w:tab/>
            </w:r>
          </w:hyperlink>
          <w:r>
            <w:t xml:space="preserve">3</w:t>
          </w:r>
          <w:r>
            <w:t xml:space="preserve">5</w: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Style w:val="1889"/>
            <w:spacing w:line="360" w:lineRule="auto"/>
            <w:rPr>
              <w:rFonts w:eastAsia="Arial" w:eastAsiaTheme="minorEastAsia"/>
              <w:lang w:val="en-US"/>
            </w:rPr>
          </w:pP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</w:p>
        <w:p>
          <w:pPr>
            <w:pStyle w:val="2014"/>
            <w:ind w:left="0" w:right="566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22" w:anchor="_Toc13992422" w:history="1">
            <w:r>
              <w:rPr>
                <w:rStyle w:val="1997"/>
                <w:bCs/>
                <w:vanish w:val="0"/>
              </w:rPr>
              <w:t xml:space="preserve">6 ОСНОВНЫЕ ПОЛОЖЕНИЯ ПУСКА И ОСТАНОВКИ СКВАЖИН ПРИ НОРМАЛЬНЫХ УСЛОВИЯХ</w:t>
            </w:r>
            <w:r>
              <w:rPr>
                <w:rStyle w:val="1997"/>
                <w:vanish w:val="0"/>
              </w:rPr>
              <w:tab/>
            </w:r>
          </w:hyperlink>
          <w:r>
            <w:rPr>
              <w:vanish w:val="0"/>
            </w:rPr>
            <w:t xml:space="preserve">49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23" w:anchor="_Toc13992423" w:history="1">
            <w:r>
              <w:rPr>
                <w:rStyle w:val="1997"/>
                <w:bCs/>
                <w:vanish w:val="0"/>
              </w:rPr>
              <w:t xml:space="preserve">6.1 Общие положения</w:t>
            </w:r>
            <w:r>
              <w:rPr>
                <w:rStyle w:val="1997"/>
                <w:vanish w:val="0"/>
              </w:rPr>
              <w:tab/>
            </w:r>
          </w:hyperlink>
          <w:r>
            <w:rPr>
              <w:vanish w:val="0"/>
            </w:rPr>
            <w:t xml:space="preserve">49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24" w:anchor="_Toc13992424" w:history="1">
            <w:r>
              <w:rPr>
                <w:rStyle w:val="1997"/>
                <w:bCs/>
                <w:vanish w:val="0"/>
              </w:rPr>
              <w:t xml:space="preserve">6.2 Обязанности персонала во время контроля за работой скважины</w:t>
            </w:r>
            <w:r>
              <w:rPr>
                <w:rStyle w:val="1997"/>
                <w:vanish w:val="0"/>
              </w:rPr>
              <w:tab/>
            </w:r>
          </w:hyperlink>
          <w:r>
            <w:rPr>
              <w:vanish w:val="0"/>
            </w:rPr>
            <w:t xml:space="preserve">51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tabs>
              <w:tab w:val="right" w:pos="9071" w:leader="dot"/>
              <w:tab w:val="clear" w:pos="9072" w:leader="none"/>
            </w:tabs>
          </w:pPr>
          <w:r/>
          <w:hyperlink w:tooltip="#_Toc13992425" w:anchor="_Toc13992425" w:history="1">
            <w:r>
              <w:rPr>
                <w:rStyle w:val="1997"/>
                <w:bCs/>
                <w:vanish w:val="0"/>
              </w:rPr>
              <w:t xml:space="preserve">6.3 Исследование скважин</w:t>
            </w:r>
            <w:r>
              <w:rPr>
                <w:rStyle w:val="1997"/>
                <w:vanish w:val="0"/>
              </w:rPr>
              <w:tab/>
            </w:r>
          </w:hyperlink>
          <w:r>
            <w:rPr>
              <w:vanish w:val="0"/>
            </w:rPr>
            <w:t xml:space="preserve">53</w:t>
          </w:r>
          <w:r/>
        </w:p>
        <w:p>
          <w:pPr>
            <w:pStyle w:val="2014"/>
            <w:ind w:left="0" w:firstLine="0"/>
            <w:spacing w:before="0" w:after="0" w:line="360" w:lineRule="auto"/>
          </w:pPr>
          <w:r/>
          <w:hyperlink w:tooltip="#_Toc13992425" w:anchor="_Toc13992425" w:history="1">
            <w:r>
              <w:rPr>
                <w:rStyle w:val="1997"/>
                <w:bCs/>
                <w:vanish w:val="0"/>
              </w:rPr>
              <w:t xml:space="preserve">6.4 </w:t>
            </w:r>
            <w:r>
              <w:rPr>
                <w:rStyle w:val="1997"/>
                <w:rFonts w:eastAsia="Arial" w:eastAsiaTheme="minorEastAsia"/>
                <w:szCs w:val="24"/>
              </w:rPr>
              <w:t xml:space="preserve">Порядок пуска в работу и остановки</w:t>
            </w:r>
            <w:r>
              <w:rPr>
                <w:rStyle w:val="1997"/>
                <w:vanish w:val="0"/>
              </w:rPr>
              <w:tab/>
            </w:r>
          </w:hyperlink>
          <w:r>
            <w:rPr>
              <w:vanish w:val="0"/>
            </w:rPr>
            <w:t xml:space="preserve">53</w:t>
          </w:r>
          <w:r/>
        </w:p>
        <w:p>
          <w:pPr>
            <w:pStyle w:val="1889"/>
          </w:pPr>
          <w:r/>
          <w:r/>
        </w:p>
        <w:p>
          <w:pPr>
            <w:pStyle w:val="2014"/>
            <w:ind w:left="0" w:firstLine="0"/>
            <w:spacing w:before="0" w:after="0" w:line="360" w:lineRule="auto"/>
            <w:tabs>
              <w:tab w:val="right" w:pos="9071" w:leader="dot"/>
              <w:tab w:val="clear" w:pos="9072" w:leader="none"/>
            </w:tabs>
            <w:rPr>
              <w:rFonts w:eastAsia="Arial" w:eastAsiaTheme="minorEastAsia"/>
              <w:sz w:val="22"/>
              <w:szCs w:val="22"/>
            </w:rPr>
          </w:pPr>
          <w:r/>
          <w:hyperlink w:tooltip="#_Toc13992426" w:anchor="_Toc13992426" w:history="1">
            <w:r>
              <w:rPr>
                <w:rStyle w:val="1997"/>
                <w:bCs/>
                <w:vanish w:val="0"/>
              </w:rPr>
              <w:t xml:space="preserve">6.5 Меры безопасности при выводе оборудования в ремонт</w:t>
            </w:r>
            <w:r>
              <w:rPr>
                <w:rStyle w:val="1997"/>
                <w:vanish w:val="0"/>
              </w:rPr>
              <w:tab/>
            </w:r>
          </w:hyperlink>
          <w:r>
            <w:rPr>
              <w:vanish w:val="0"/>
            </w:rPr>
            <w:t xml:space="preserve">56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27" w:anchor="_Toc13992427" w:history="1">
            <w:r>
              <w:rPr>
                <w:rStyle w:val="1997"/>
                <w:bCs/>
                <w:vanish w:val="0"/>
              </w:rPr>
              <w:t xml:space="preserve">6.6 Случаи, требующие немедленной остановки скважины</w:t>
            </w:r>
            <w:r>
              <w:rPr>
                <w:rStyle w:val="1997"/>
                <w:vanish w:val="0"/>
              </w:rPr>
              <w:tab/>
            </w:r>
          </w:hyperlink>
          <w:r>
            <w:rPr>
              <w:vanish w:val="0"/>
            </w:rPr>
            <w:t xml:space="preserve">56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</w:pPr>
          <w:r/>
          <w:hyperlink w:tooltip="#_Toc13992429" w:anchor="_Toc13992429" w:history="1">
            <w:r>
              <w:rPr>
                <w:rStyle w:val="1997"/>
                <w:bCs/>
                <w:vanish w:val="0"/>
              </w:rPr>
              <w:t xml:space="preserve">6.7 Действия персонала при ликвидации аварийных ситуаций</w:t>
            </w:r>
            <w:r>
              <w:rPr>
                <w:rStyle w:val="1997"/>
                <w:vanish w:val="0"/>
              </w:rPr>
              <w:tab/>
            </w:r>
          </w:hyperlink>
          <w:r>
            <w:rPr>
              <w:vanish w:val="0"/>
            </w:rPr>
            <w:t xml:space="preserve">57</w:t>
          </w:r>
          <w:r/>
        </w:p>
        <w:p>
          <w:pPr>
            <w:pStyle w:val="2014"/>
            <w:ind w:left="0" w:firstLine="0"/>
            <w:spacing w:before="0" w:after="0" w:line="360" w:lineRule="auto"/>
          </w:pPr>
          <w:r/>
          <w:hyperlink w:tooltip="#_Toc13992429" w:anchor="_Toc13992429" w:history="1">
            <w:r>
              <w:rPr>
                <w:rStyle w:val="1997"/>
                <w:bCs/>
                <w:vanish w:val="0"/>
              </w:rPr>
              <w:t xml:space="preserve">6.8 Порядок ведения документации</w:t>
            </w:r>
            <w:r>
              <w:rPr>
                <w:rStyle w:val="1997"/>
                <w:vanish w:val="0"/>
              </w:rPr>
              <w:tab/>
            </w:r>
          </w:hyperlink>
          <w:r>
            <w:rPr>
              <w:vanish w:val="0"/>
            </w:rPr>
            <w:t xml:space="preserve">57</w:t>
          </w:r>
          <w:r/>
        </w:p>
        <w:p>
          <w:pPr>
            <w:pStyle w:val="1889"/>
          </w:pPr>
          <w:r/>
          <w:r/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30" w:anchor="_Toc13992430" w:history="1">
            <w:r>
              <w:rPr>
                <w:rStyle w:val="1997"/>
                <w:bCs/>
                <w:vanish w:val="0"/>
              </w:rPr>
              <w:t xml:space="preserve">7 БЕЗОПАСНАЯ ЭКСПЛУАТАЦИЯ ПРОИЗВОДСТВЕННОГО ОБЪЕКТА</w:t>
            </w:r>
            <w:r>
              <w:rPr>
                <w:rStyle w:val="1997"/>
                <w:vanish w:val="0"/>
              </w:rPr>
              <w:tab/>
            </w:r>
          </w:hyperlink>
          <w:r>
            <w:rPr>
              <w:vanish w:val="0"/>
            </w:rPr>
            <w:t xml:space="preserve">58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31" w:anchor="_Toc13992431" w:history="1">
            <w:r>
              <w:rPr>
                <w:rStyle w:val="1997"/>
                <w:vanish w:val="0"/>
              </w:rPr>
              <w:t xml:space="preserve">7.1 Характеристики опасностей производства</w:t>
              <w:tab/>
            </w:r>
          </w:hyperlink>
          <w:r>
            <w:rPr>
              <w:vanish w:val="0"/>
            </w:rPr>
            <w:t xml:space="preserve">58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right="566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32" w:anchor="_Toc13992432" w:history="1">
            <w:r>
              <w:rPr>
                <w:rStyle w:val="1997"/>
                <w:vanish w:val="0"/>
              </w:rPr>
              <w:t xml:space="preserve">7.2 Характеристика взрывопожароопасных и токсичных свойств сырья, готовой продукции, материалов, реагентов</w:t>
              <w:tab/>
            </w:r>
          </w:hyperlink>
          <w:r>
            <w:rPr>
              <w:vanish w:val="0"/>
            </w:rPr>
            <w:t xml:space="preserve">61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33" w:anchor="_Toc13992433" w:history="1">
            <w:r>
              <w:rPr>
                <w:rStyle w:val="1997"/>
                <w:vanish w:val="0"/>
              </w:rPr>
              <w:t xml:space="preserve">7.3 Характеристики технологических блоков, зданий и помещений по                                взрывопожарной и пожарной опасности</w:t>
              <w:tab/>
            </w:r>
          </w:hyperlink>
          <w:r>
            <w:rPr>
              <w:vanish w:val="0"/>
            </w:rPr>
            <w:t xml:space="preserve">63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34" w:anchor="_Toc13992434" w:history="1">
            <w:r>
              <w:rPr>
                <w:rStyle w:val="1997"/>
                <w:vanish w:val="0"/>
              </w:rPr>
              <w:t xml:space="preserve">7.4 Возможные производственные неполадки и аварийные ситуации,                                    способы их предупреждения и устранения</w:t>
              <w:tab/>
            </w:r>
          </w:hyperlink>
          <w:r>
            <w:rPr>
              <w:vanish w:val="0"/>
            </w:rPr>
            <w:t xml:space="preserve">63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34" w:anchor="_Toc13992434" w:history="1">
            <w:r>
              <w:rPr>
                <w:rStyle w:val="1997"/>
                <w:vanish w:val="0"/>
              </w:rPr>
              <w:t xml:space="preserve">7.5 Основные правила безопасности при ведении технологических процессов</w:t>
              <w:tab/>
            </w:r>
          </w:hyperlink>
          <w:r>
            <w:rPr>
              <w:vanish w:val="0"/>
            </w:rPr>
            <w:t xml:space="preserve">66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35" w:anchor="_Toc13992435" w:history="1">
            <w:r>
              <w:rPr>
                <w:rStyle w:val="1997"/>
                <w:vanish w:val="0"/>
              </w:rPr>
              <w:t xml:space="preserve">7.6 Основные требования пожарной безопасности</w:t>
              <w:tab/>
            </w:r>
          </w:hyperlink>
          <w:r>
            <w:rPr>
              <w:vanish w:val="0"/>
            </w:rPr>
            <w:t xml:space="preserve">67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36" w:anchor="_Toc13992436" w:history="1">
            <w:r>
              <w:rPr>
                <w:rStyle w:val="1997"/>
                <w:vanish w:val="0"/>
              </w:rPr>
              <w:t xml:space="preserve">7.7 Обеспечение взрывобезопасности при проведении газоопасных и огневых работ</w:t>
              <w:tab/>
            </w:r>
          </w:hyperlink>
          <w:r>
            <w:rPr>
              <w:vanish w:val="0"/>
            </w:rPr>
            <w:t xml:space="preserve">69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1889"/>
            <w:spacing w:line="360" w:lineRule="auto"/>
            <w:rPr>
              <w:rFonts w:eastAsia="Arial" w:eastAsiaTheme="minorEastAsia"/>
              <w:lang w:val="en-US"/>
            </w:rPr>
          </w:pP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41" w:anchor="_Toc13992441" w:history="1">
            <w:r>
              <w:rPr>
                <w:rStyle w:val="1997"/>
                <w:vanish w:val="0"/>
              </w:rPr>
              <w:t xml:space="preserve">8 МЕТОДЫ И СРЕДСТВА ЗАЩИТЫ ОТ ПРОИЗВОДСТВЕННЫХ ОПАСНОСТЕЙ</w:t>
              <w:tab/>
            </w:r>
          </w:hyperlink>
          <w:r>
            <w:rPr>
              <w:vanish w:val="0"/>
            </w:rPr>
            <w:t xml:space="preserve">70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right="566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42" w:anchor="_Toc13992442" w:history="1">
            <w:r>
              <w:rPr>
                <w:rStyle w:val="1997"/>
                <w:vanish w:val="0"/>
              </w:rPr>
              <w:t xml:space="preserve">8.1 Методы и средства контроля за содержанием взрывоопасных и токсичных веществ в воздухе рабочей зоны</w:t>
              <w:tab/>
            </w:r>
          </w:hyperlink>
          <w:r>
            <w:rPr>
              <w:vanish w:val="0"/>
            </w:rPr>
            <w:t xml:space="preserve">70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lang w:val="en-US"/>
            </w:rPr>
          </w:pPr>
          <w:r/>
          <w:hyperlink w:tooltip="#_Toc13992443" w:anchor="_Toc13992443" w:history="1">
            <w:r>
              <w:rPr>
                <w:rStyle w:val="1997"/>
                <w:vanish w:val="0"/>
              </w:rPr>
              <w:t xml:space="preserve">8.2 Периодичность и методы контроля за образованием в процессе эксплуатации производства взрывоопасных концентраций</w:t>
              <w:tab/>
            </w:r>
          </w:hyperlink>
          <w:r>
            <w:rPr>
              <w:vanish w:val="0"/>
            </w:rPr>
            <w:t xml:space="preserve">70</w: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Style w:val="1889"/>
            <w:spacing w:line="360" w:lineRule="auto"/>
            <w:rPr>
              <w:rFonts w:eastAsia="Arial" w:eastAsiaTheme="minorEastAsia"/>
              <w:lang w:val="en-US"/>
            </w:rPr>
          </w:pP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44" w:anchor="_Toc13992444" w:history="1">
            <w:r>
              <w:rPr>
                <w:rStyle w:val="1997"/>
                <w:vanish w:val="0"/>
              </w:rPr>
              <w:t xml:space="preserve">9 ДОПОЛНИТЕЛЬНЫЕ МЕРЫ БЕЗОПАСНОСТИ ПРИ ЭКСПЛУАТАЦИИ</w:t>
              <w:tab/>
            </w:r>
          </w:hyperlink>
          <w:r>
            <w:rPr>
              <w:vanish w:val="0"/>
            </w:rPr>
            <w:t xml:space="preserve">72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right="849" w:firstLine="0"/>
            <w:spacing w:before="0" w:after="0" w:line="360" w:lineRule="auto"/>
            <w:rPr>
              <w:rFonts w:eastAsia="Arial" w:eastAsiaTheme="minorEastAsia"/>
              <w:highlight w:val="none"/>
            </w:rPr>
          </w:pPr>
          <w:r/>
          <w:hyperlink w:tooltip="#_Toc13992445" w:anchor="_Toc13992445" w:history="1">
            <w:r>
              <w:rPr>
                <w:rStyle w:val="1997"/>
                <w:vanish w:val="0"/>
              </w:rPr>
              <w:t xml:space="preserve">9.1 Безопасные методы обращения с пирофорными отложениями</w:t>
              <w:tab/>
            </w:r>
          </w:hyperlink>
          <w:r>
            <w:rPr>
              <w:vanish w:val="0"/>
            </w:rPr>
            <w:t xml:space="preserve">72</w:t>
          </w:r>
          <w:r>
            <w:rPr>
              <w:rFonts w:eastAsia="Arial" w:eastAsiaTheme="minorEastAsia"/>
              <w:highlight w:val="none"/>
            </w:rPr>
          </w:r>
          <w:r>
            <w:rPr>
              <w:rFonts w:eastAsia="Arial" w:eastAsiaTheme="minorEastAsia"/>
              <w:highlight w:val="none"/>
            </w:rPr>
          </w:r>
        </w:p>
        <w:p>
          <w:pPr>
            <w:pStyle w:val="2014"/>
            <w:ind w:left="0" w:right="849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45" w:anchor="_Toc13992445" w:history="1">
            <w:r>
              <w:rPr>
                <w:rStyle w:val="1997"/>
                <w:vanish w:val="0"/>
              </w:rPr>
              <w:t xml:space="preserve">9.2 Способы обезвреживания и нейтрализации продуктов производства при разливах и авариях</w:t>
              <w:tab/>
            </w:r>
          </w:hyperlink>
          <w:r>
            <w:rPr>
              <w:vanish w:val="0"/>
            </w:rPr>
            <w:t xml:space="preserve">72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right="849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46" w:anchor="_Toc13992446" w:history="1">
            <w:r>
              <w:rPr>
                <w:rStyle w:val="1997"/>
                <w:vanish w:val="0"/>
              </w:rPr>
              <w:t xml:space="preserve">9.3 Средства индивидуальной, коллективной защиты, смывающие и обезвреживающие средства</w:t>
              <w:tab/>
            </w:r>
          </w:hyperlink>
          <w:r>
            <w:rPr>
              <w:vanish w:val="0"/>
            </w:rPr>
            <w:t xml:space="preserve">72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47" w:anchor="_Toc13992447" w:history="1">
            <w:r>
              <w:rPr>
                <w:rStyle w:val="1997"/>
                <w:vanish w:val="0"/>
              </w:rPr>
              <w:t xml:space="preserve">9.4 Способы предотвращения накопления зарядов статического электричества</w:t>
              <w:tab/>
            </w:r>
          </w:hyperlink>
          <w:r>
            <w:rPr>
              <w:vanish w:val="0"/>
            </w:rPr>
            <w:t xml:space="preserve">74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right="849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48" w:anchor="_Toc13992448" w:history="1">
            <w:r>
              <w:rPr>
                <w:rStyle w:val="1997"/>
                <w:vanish w:val="0"/>
              </w:rPr>
              <w:t xml:space="preserve">9.5 Безопасный метод удаления продуктов производства из технологических систем и отдельных видов оборудования</w:t>
              <w:tab/>
            </w:r>
          </w:hyperlink>
          <w:r>
            <w:rPr>
              <w:vanish w:val="0"/>
            </w:rPr>
            <w:t xml:space="preserve">76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lang w:val="en-US"/>
            </w:rPr>
          </w:pPr>
          <w:r/>
          <w:hyperlink w:tooltip="#_Toc13992449" w:anchor="_Toc13992449" w:history="1">
            <w:r>
              <w:rPr>
                <w:rStyle w:val="1997"/>
                <w:vanish w:val="0"/>
              </w:rPr>
              <w:t xml:space="preserve">9.6 Основные опасности применяемого оборудования</w:t>
              <w:tab/>
            </w:r>
          </w:hyperlink>
          <w:r>
            <w:rPr>
              <w:vanish w:val="0"/>
            </w:rPr>
            <w:t xml:space="preserve">76</w: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Style w:val="1889"/>
            <w:spacing w:line="360" w:lineRule="auto"/>
            <w:rPr>
              <w:rFonts w:eastAsia="Arial" w:eastAsiaTheme="minorEastAsia"/>
              <w:lang w:val="en-US"/>
            </w:rPr>
          </w:pP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lang w:val="en-US"/>
            </w:rPr>
          </w:pPr>
          <w:r/>
          <w:hyperlink w:tooltip="#_Toc13992450" w:anchor="_Toc13992450" w:history="1">
            <w:r>
              <w:rPr>
                <w:rStyle w:val="1997"/>
                <w:vanish w:val="0"/>
              </w:rPr>
              <w:t xml:space="preserve">10 ТЕХНОЛОГИЧЕСКИЕ И ВЕНТИЛЯЦИОННЫЕ ВЫБРОСЫ В АТМОСФЕРУ </w:t>
            </w:r>
          </w:hyperlink>
          <w:r>
            <w:tab/>
          </w:r>
          <w:r>
            <w:t xml:space="preserve">78</w: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Style w:val="1889"/>
            <w:spacing w:line="360" w:lineRule="auto"/>
            <w:rPr>
              <w:rFonts w:eastAsia="Arial" w:eastAsiaTheme="minorEastAsia"/>
              <w:lang w:val="en-US"/>
            </w:rPr>
          </w:pP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51" w:anchor="_Toc13992451" w:history="1">
            <w:r>
              <w:rPr>
                <w:rStyle w:val="1997"/>
                <w:vanish w:val="0"/>
              </w:rPr>
              <w:t xml:space="preserve">11 ХАРАКТЕРИСТИКА ТЕХНОЛОГИЧЕСКОГО ОБОРУДОВАНИЯ</w:t>
              <w:tab/>
            </w:r>
          </w:hyperlink>
          <w:r>
            <w:rPr>
              <w:vanish w:val="0"/>
            </w:rPr>
            <w:t xml:space="preserve">79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highlight w:val="none"/>
            </w:rPr>
          </w:pPr>
          <w:r/>
          <w:hyperlink w:tooltip="#_Toc13992452" w:anchor="_Toc13992452" w:history="1">
            <w:r>
              <w:rPr>
                <w:rStyle w:val="1997"/>
                <w:vanish w:val="0"/>
              </w:rPr>
              <w:t xml:space="preserve">11.1 Краткая характеристика оборудования</w:t>
              <w:tab/>
            </w:r>
          </w:hyperlink>
          <w:r>
            <w:rPr>
              <w:vanish w:val="0"/>
            </w:rPr>
            <w:t xml:space="preserve">79</w:t>
          </w:r>
          <w:r>
            <w:rPr>
              <w:rFonts w:eastAsia="Arial" w:eastAsiaTheme="minorEastAsia"/>
              <w:highlight w:val="none"/>
            </w:rPr>
          </w:r>
          <w:r>
            <w:rPr>
              <w:rFonts w:eastAsia="Arial" w:eastAsiaTheme="minorEastAsia"/>
              <w:highlight w:val="none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highlight w:val="none"/>
            </w:rPr>
          </w:pPr>
          <w:r/>
          <w:hyperlink w:tooltip="#_Toc13992452" w:anchor="_Toc13992452" w:history="1">
            <w:r>
              <w:rPr>
                <w:rStyle w:val="1997"/>
                <w:vanish w:val="0"/>
              </w:rPr>
              <w:t xml:space="preserve">11.2 Клапаны предохранительные</w:t>
              <w:tab/>
            </w:r>
          </w:hyperlink>
          <w:r>
            <w:rPr>
              <w:vanish w:val="0"/>
            </w:rPr>
            <w:t xml:space="preserve">79</w:t>
          </w:r>
          <w:r>
            <w:rPr>
              <w:rFonts w:eastAsia="Arial" w:eastAsiaTheme="minorEastAsia"/>
              <w:highlight w:val="none"/>
            </w:rPr>
          </w:r>
          <w:r>
            <w:rPr>
              <w:rFonts w:eastAsia="Arial" w:eastAsiaTheme="minorEastAsia"/>
              <w:highlight w:val="none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52" w:anchor="_Toc13992452" w:history="1">
            <w:r>
              <w:rPr>
                <w:rStyle w:val="1997"/>
                <w:vanish w:val="0"/>
              </w:rPr>
              <w:t xml:space="preserve">11.3 Насосно-компрессорное оборудование</w:t>
              <w:tab/>
            </w:r>
          </w:hyperlink>
          <w:r>
            <w:rPr>
              <w:vanish w:val="0"/>
            </w:rPr>
            <w:t xml:space="preserve">79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1889"/>
            <w:spacing w:line="360" w:lineRule="auto"/>
            <w:rPr>
              <w:rFonts w:eastAsia="Arial" w:eastAsiaTheme="minorEastAsia"/>
              <w:lang w:val="en-US"/>
            </w:rPr>
          </w:pP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</w:p>
        <w:p>
          <w:pPr>
            <w:pStyle w:val="2014"/>
            <w:ind w:left="0" w:right="566" w:firstLine="0"/>
            <w:spacing w:before="0" w:after="0" w:line="360" w:lineRule="auto"/>
            <w:rPr>
              <w:lang w:val="en-US"/>
            </w:rPr>
          </w:pPr>
          <w:r/>
          <w:hyperlink w:tooltip="#_Toc13992456" w:anchor="_Toc13992456" w:history="1">
            <w:r>
              <w:rPr>
                <w:rStyle w:val="1997"/>
                <w:vanish w:val="0"/>
              </w:rPr>
              <w:t xml:space="preserve">12 ПЕРЕЧЕНЬ НОРМАТИВНОЙ ДОКУМЕНТАЦИИ, ОБЯЗАТЕЛЬНЫХ ИНСТРУКЦИЙ И ПРАВИЛ</w:t>
              <w:tab/>
            </w:r>
          </w:hyperlink>
          <w:r>
            <w:rPr>
              <w:vanish w:val="0"/>
            </w:rPr>
            <w:t xml:space="preserve">80</w: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Style w:val="1889"/>
            <w:spacing w:line="360" w:lineRule="auto"/>
            <w:rPr>
              <w:rFonts w:eastAsia="Arial" w:eastAsiaTheme="minorEastAsia"/>
              <w:lang w:val="en-US"/>
            </w:rPr>
          </w:pP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lang w:val="en-US"/>
            </w:rPr>
          </w:pPr>
          <w:r/>
          <w:hyperlink w:tooltip="#_Toc13992457" w:anchor="_Toc13992457" w:history="1">
            <w:r>
              <w:rPr>
                <w:rStyle w:val="1997"/>
                <w:vanish w:val="0"/>
              </w:rPr>
              <w:t xml:space="preserve">13 ТЕХНОЛОГИЧЕСКИЕ СХЕМЫ</w:t>
              <w:tab/>
            </w:r>
          </w:hyperlink>
          <w:r>
            <w:rPr>
              <w:vanish w:val="0"/>
            </w:rPr>
            <w:t xml:space="preserve">82</w:t>
          </w:r>
          <w:r>
            <w:rPr>
              <w:lang w:val="en-US"/>
            </w:rPr>
          </w:r>
          <w:r>
            <w:rPr>
              <w:lang w:val="en-US"/>
            </w:rPr>
          </w:r>
        </w:p>
        <w:p>
          <w:pPr>
            <w:pStyle w:val="1889"/>
            <w:spacing w:line="360" w:lineRule="auto"/>
            <w:rPr>
              <w:rFonts w:eastAsia="Arial" w:eastAsiaTheme="minorEastAsia"/>
              <w:lang w:val="en-US"/>
            </w:rPr>
          </w:pP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  <w:r>
            <w:rPr>
              <w:rFonts w:eastAsia="Arial" w:eastAsiaTheme="minorEastAsia"/>
              <w:lang w:val="en-US"/>
            </w:rPr>
          </w:r>
        </w:p>
        <w:p>
          <w:pPr>
            <w:pStyle w:val="2014"/>
            <w:ind w:left="0" w:firstLine="0"/>
            <w:spacing w:before="0" w:after="0" w:line="360" w:lineRule="auto"/>
          </w:pPr>
          <w:r/>
          <w:hyperlink w:tooltip="#_Toc13992458" w:anchor="_Toc13992458" w:history="1">
            <w:r>
              <w:rPr>
                <w:rStyle w:val="1997"/>
                <w:vanish w:val="0"/>
              </w:rPr>
              <w:t xml:space="preserve">14 ЭКСПЛИКАЦИЯ ОБОРУДОВАНИЯ</w:t>
              <w:tab/>
            </w:r>
          </w:hyperlink>
          <w:r>
            <w:rPr>
              <w:vanish w:val="0"/>
            </w:rPr>
            <w:t xml:space="preserve">83</w:t>
          </w:r>
          <w:r/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58" w:anchor="_Toc13992458" w:history="1">
            <w:r>
              <w:rPr>
                <w:rStyle w:val="1997"/>
                <w:vanish w:val="0"/>
              </w:rPr>
              <w:t xml:space="preserve">ПРИЛОЖЕНИЕ 1</w:t>
              <w:tab/>
            </w:r>
          </w:hyperlink>
          <w:r>
            <w:rPr>
              <w:vanish w:val="0"/>
            </w:rPr>
            <w:t xml:space="preserve">84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2014"/>
            <w:ind w:left="0" w:firstLine="0"/>
            <w:spacing w:before="0" w:after="0" w:line="360" w:lineRule="auto"/>
            <w:rPr>
              <w:rFonts w:eastAsia="Arial" w:eastAsiaTheme="minorEastAsia"/>
              <w:sz w:val="22"/>
              <w:szCs w:val="22"/>
            </w:rPr>
          </w:pPr>
          <w:r/>
          <w:hyperlink w:tooltip="#_Toc13992458" w:anchor="_Toc13992458" w:history="1">
            <w:r>
              <w:rPr>
                <w:rStyle w:val="1997"/>
                <w:vanish w:val="0"/>
              </w:rPr>
              <w:t xml:space="preserve">ПРИЛОЖЕНИЕ 2</w:t>
              <w:tab/>
            </w:r>
          </w:hyperlink>
          <w:r>
            <w:rPr>
              <w:vanish w:val="0"/>
            </w:rPr>
            <w:t xml:space="preserve">85</w:t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  <w:p>
          <w:pPr>
            <w:pStyle w:val="1889"/>
            <w:rPr>
              <w:rFonts w:eastAsia="Arial" w:eastAsiaTheme="minorEastAsia"/>
            </w:rPr>
          </w:pPr>
          <w:r>
            <w:rPr>
              <w:rFonts w:eastAsia="Arial" w:eastAsiaTheme="minorEastAsia"/>
            </w:rPr>
          </w:r>
          <w:r>
            <w:rPr>
              <w:rFonts w:eastAsia="Arial" w:eastAsiaTheme="minorEastAsia"/>
            </w:rPr>
          </w:r>
          <w:r>
            <w:rPr>
              <w:rFonts w:eastAsia="Arial" w:eastAsiaTheme="minorEastAsia"/>
            </w:rPr>
          </w:r>
        </w:p>
        <w:p>
          <w:pPr>
            <w:pStyle w:val="2022"/>
            <w:ind w:left="0" w:firstLine="0"/>
            <w:spacing w:before="0" w:after="0" w:line="360" w:lineRule="auto"/>
            <w:tabs>
              <w:tab w:val="right" w:pos="9071" w:leader="dot"/>
              <w:tab w:val="clear" w:pos="9072" w:leader="none"/>
            </w:tabs>
            <w:rPr>
              <w:rFonts w:eastAsia="Arial" w:eastAsiaTheme="minorEastAsia"/>
              <w:sz w:val="22"/>
              <w:szCs w:val="22"/>
            </w:rPr>
          </w:pPr>
          <w:r/>
          <w:hyperlink w:tooltip="#_Toc13992459" w:anchor="_Toc13992459" w:history="1">
            <w:r>
              <w:rPr>
                <w:rStyle w:val="1997"/>
                <w:vanish w:val="0"/>
              </w:rPr>
              <w:t xml:space="preserve">ЛИСТ РЕГИСТРАЦИИ ИЗМЕНЕНИЙ</w:t>
              <w:tab/>
            </w:r>
          </w:hyperlink>
          <w:r>
            <w:rPr>
              <w:vanish w:val="0"/>
            </w:rPr>
            <w:t xml:space="preserve">86</w:t>
          </w:r>
          <w:r>
            <w:rPr>
              <w:vanish w:val="0"/>
            </w:rPr>
            <w:fldChar w:fldCharType="end"/>
          </w:r>
          <w:r>
            <w:rPr>
              <w:rFonts w:eastAsia="Arial" w:eastAsiaTheme="minorEastAsia"/>
              <w:sz w:val="22"/>
              <w:szCs w:val="22"/>
            </w:rPr>
          </w:r>
          <w:r>
            <w:rPr>
              <w:rFonts w:eastAsia="Arial" w:eastAsiaTheme="minorEastAsia"/>
              <w:sz w:val="22"/>
              <w:szCs w:val="22"/>
            </w:rPr>
          </w:r>
        </w:p>
      </w:sdtContent>
    </w:sdt>
    <w:p>
      <w:pPr>
        <w:pStyle w:val="2168"/>
        <w:jc w:val="center"/>
        <w:spacing w:before="0" w:after="0" w:line="360" w:lineRule="auto"/>
        <w:tabs>
          <w:tab w:val="clear" w:pos="709" w:leader="none"/>
          <w:tab w:val="left" w:pos="9638" w:leader="none"/>
        </w:tabs>
      </w:pPr>
      <w:r>
        <w:br w:type="page" w:clear="all"/>
      </w:r>
      <w:bookmarkStart w:id="2" w:name="_Toc13992407"/>
      <w:r>
        <w:rPr>
          <w:b/>
        </w:rPr>
        <w:t xml:space="preserve">ПЕРЕЧЕНЬ СОКРАЩЕНИЙ</w:t>
      </w:r>
      <w:bookmarkEnd w:id="2"/>
      <w:r/>
      <w:r/>
    </w:p>
    <w:tbl>
      <w:tblPr>
        <w:tblW w:w="4800" w:type="pct"/>
        <w:jc w:val="center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00" w:firstRow="0" w:lastRow="0" w:firstColumn="0" w:lastColumn="0" w:noHBand="0" w:noVBand="0"/>
      </w:tblPr>
      <w:tblGrid>
        <w:gridCol w:w="1528"/>
        <w:gridCol w:w="7450"/>
      </w:tblGrid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АНЦ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Агрегат насосный цементировочный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/>
            <w:bookmarkStart w:id="3" w:name="_Toc479045154_Копия_1"/>
            <w:r/>
            <w:bookmarkStart w:id="4" w:name="_Toc479489381_Копия_1"/>
            <w:r/>
            <w:bookmarkEnd w:id="3"/>
            <w:r/>
            <w:bookmarkEnd w:id="4"/>
            <w:r>
              <w:rPr>
                <w:sz w:val="24"/>
                <w:szCs w:val="24"/>
              </w:rPr>
              <w:t xml:space="preserve">ГП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Газовый промысел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ГСК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Газосборный коллектор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ГФУ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Горизонтальная факельная установка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ГШ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Газопровод-шлейф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месторождение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месторождение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ЗРА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Запорно-регулирующая арматура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ЗПА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Здание переключающей арматуры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ИТЦ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Филиал  Инженерно-технический центр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КГ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Колонная головка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КГС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Куст газовых скважин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КИПиА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Контрольно-измерительные приборы и автоматика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МКД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Межколонное давление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Филиал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Филиал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НКПРП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Нижний концентрационный предел распространения пламени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НКТ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Насосно-компрессорные трубы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 xml:space="preserve">НСУ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0"/>
              </w:rPr>
            </w:pPr>
            <w:r>
              <w:rPr>
                <w:color w:val="000000"/>
                <w:sz w:val="24"/>
                <w:szCs w:val="20"/>
              </w:rPr>
              <w:t xml:space="preserve">Нестандартное сужающее устройство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Опасный производственный объект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ПДК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Предельно-допустимая концентрация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ПДС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Производственно-диспетчерская служба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ППУ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Передвижная паровая установка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ПЛА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План мероприятий по локализации и ликвидации последствий аварий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ППР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Планово-предупредительный ремонт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ПТО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Производственно-технический отдел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СВЧ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Северная военизированная часть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СКЗ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Средства коллективной защиты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ТПО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Трубопроводы обвязки скважин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8"/>
                <w:szCs w:val="24"/>
              </w:rPr>
            </w:pPr>
            <w:r>
              <w:rPr>
                <w:sz w:val="24"/>
                <w:szCs w:val="24"/>
              </w:rPr>
              <w:t xml:space="preserve">УКПГ</w:t>
            </w:r>
            <w:r>
              <w:rPr>
                <w:sz w:val="28"/>
                <w:szCs w:val="24"/>
              </w:rPr>
            </w:r>
            <w:r>
              <w:rPr>
                <w:sz w:val="28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Установка комплексной подготовки газа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13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УГРиЛМ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Управление геологии, разработки и лицензирования месторождения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56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08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Фонтанная арматура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08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МКП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Межколонное пространство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cantSplit/>
          <w:trHeight w:val="340"/>
        </w:trPr>
        <w:tc>
          <w:tcPr>
            <w:shd w:val="clear" w:color="auto" w:fill="auto"/>
            <w:tcW w:w="1528" w:type="dxa"/>
            <w:textDirection w:val="lrTb"/>
            <w:noWrap w:val="false"/>
          </w:tcPr>
          <w:p>
            <w:pPr>
              <w:pStyle w:val="1889"/>
              <w:ind w:left="-108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СПиПБ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W w:w="7450" w:type="dxa"/>
            <w:textDirection w:val="lrTb"/>
            <w:noWrap w:val="false"/>
          </w:tcPr>
          <w:p>
            <w:pPr>
              <w:pStyle w:val="1889"/>
              <w:spacing w:line="34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Служба промышленной и пожарной безопасности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2168"/>
        <w:spacing w:before="0" w:after="0" w:line="360" w:lineRule="auto"/>
      </w:pPr>
      <w:r/>
      <w:r/>
    </w:p>
    <w:p>
      <w:pPr>
        <w:pStyle w:val="2168"/>
        <w:ind w:firstLine="709"/>
        <w:jc w:val="center"/>
        <w:spacing w:before="0" w:after="0" w:line="360" w:lineRule="auto"/>
        <w:rPr>
          <w:rStyle w:val="1940"/>
        </w:rPr>
      </w:pPr>
      <w:r>
        <w:rPr>
          <w:rStyle w:val="1940"/>
        </w:rPr>
        <w:t xml:space="preserve">ОБЩИЕ ПОЛОЖЕНИЯ</w:t>
      </w:r>
      <w:r>
        <w:rPr>
          <w:rStyle w:val="1940"/>
        </w:rPr>
      </w:r>
      <w:r>
        <w:rPr>
          <w:rStyle w:val="1940"/>
        </w:rPr>
      </w:r>
    </w:p>
    <w:p>
      <w:pPr>
        <w:pStyle w:val="1999"/>
        <w:ind w:left="0" w:right="0" w:firstLine="737"/>
        <w:jc w:val="both"/>
        <w:spacing w:before="120" w:after="120" w:line="360" w:lineRule="auto"/>
        <w:widowControl/>
        <w:rPr>
          <w:highlight w:val="none"/>
          <w:shd w:val="clear" w:color="auto" w:fill="auto"/>
        </w:rPr>
      </w:pPr>
      <w:r>
        <w:rPr>
          <w:shd w:val="clear" w:color="auto" w:fill="auto"/>
        </w:rPr>
        <w:t xml:space="preserve">Настоящий технологический регламент разработан специалистами  в соответствии с Федеральными нормами и правилами в области промышленной безопасности «Правила безопасности в нефтяной и газовой промышленности» (далее — ПбвНГП).</w:t>
      </w:r>
      <w:bookmarkStart w:id="5" w:name="_Toc385517741"/>
      <w:r/>
      <w:bookmarkStart w:id="6" w:name="_Toc385183509"/>
      <w:r/>
      <w:bookmarkStart w:id="7" w:name="_Toc385427479"/>
      <w:r/>
      <w:bookmarkStart w:id="8" w:name="_Toc389464412"/>
      <w:r/>
      <w:bookmarkStart w:id="9" w:name="_Toc385183269"/>
      <w:r/>
      <w:bookmarkStart w:id="10" w:name="_Toc385183406"/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999"/>
        <w:ind w:firstLine="709"/>
        <w:spacing w:line="360" w:lineRule="auto"/>
      </w:pPr>
      <w:r>
        <w:rPr>
          <w:shd w:val="clear" w:color="auto" w:fill="auto"/>
        </w:rPr>
        <w:t xml:space="preserve">Регламент является основным технич</w:t>
      </w:r>
      <w:r>
        <w:t xml:space="preserve">еским документом, определяющим режим и порядок проведения технологических процессов добычи газа на газовых промыслах, соблюдение которых гарантирует обеспечение безопасной эксплуатации производства.</w:t>
      </w:r>
      <w:r/>
    </w:p>
    <w:p>
      <w:pPr>
        <w:pStyle w:val="1999"/>
        <w:ind w:firstLine="709"/>
        <w:spacing w:line="360" w:lineRule="auto"/>
      </w:pPr>
      <w:r>
        <w:t xml:space="preserve">Соблюдение всех требований технологического регламента обеспечивает необходимое качество выпускаемой продукции, рациональное и экономичное ведение процесса, сохранность оборудования и безопасность работ.</w:t>
      </w:r>
      <w:r/>
    </w:p>
    <w:p>
      <w:pPr>
        <w:pStyle w:val="1999"/>
        <w:ind w:firstLine="709"/>
        <w:spacing w:line="360" w:lineRule="auto"/>
      </w:pPr>
      <w:r>
        <w:t xml:space="preserve">Эксплуатацию скважин осуществляет ООО «Газпром добыча Ямбург».</w:t>
      </w:r>
      <w:r/>
    </w:p>
    <w:p>
      <w:pPr>
        <w:pStyle w:val="1999"/>
        <w:ind w:firstLine="709"/>
        <w:spacing w:line="360" w:lineRule="auto"/>
      </w:pPr>
      <w:r>
        <w:t xml:space="preserve">Данный технологический регламент распространяется на ОПО «Фонд скважин</w:t>
        <w:tab/>
        <w:t xml:space="preserve"> Газового промысла № месторождение», рег.№А59-50040-0160.</w:t>
      </w:r>
      <w:r/>
    </w:p>
    <w:p>
      <w:pPr>
        <w:pStyle w:val="1999"/>
        <w:ind w:firstLine="709"/>
        <w:spacing w:line="360" w:lineRule="auto"/>
      </w:pPr>
      <w:r>
        <w:t xml:space="preserve">Срок действия регламента – 5 лет. </w:t>
      </w:r>
      <w:r/>
    </w:p>
    <w:p>
      <w:pPr>
        <w:pStyle w:val="1999"/>
        <w:ind w:firstLine="709"/>
        <w:spacing w:line="360" w:lineRule="auto"/>
      </w:pPr>
      <w:r>
        <w:t xml:space="preserve">Утвержденный технологический регламент хранится в производственно-техническом отделе Филиалщего управления . Копии и выписки из технологиче</w:t>
      </w:r>
      <w:r>
        <w:t xml:space="preserve">ского регламента, заверенные производственно-техническим отделом Филиалщего управления , передаются для руководства и ведения технологического режима начальнику ГП- месторождение, а также другим заинтересованным организациям.</w:t>
      </w:r>
      <w:r/>
    </w:p>
    <w:p>
      <w:pPr>
        <w:pStyle w:val="1999"/>
        <w:ind w:firstLine="709"/>
        <w:spacing w:line="360" w:lineRule="auto"/>
      </w:pPr>
      <w:r>
        <w:t xml:space="preserve">Досрочно регламент пересматривают:</w:t>
      </w:r>
      <w:r/>
    </w:p>
    <w:p>
      <w:pPr>
        <w:pStyle w:val="1999"/>
        <w:ind w:firstLine="709"/>
        <w:spacing w:line="360" w:lineRule="auto"/>
      </w:pPr>
      <w:r>
        <w:t xml:space="preserve">а) при введении в действие федеральными органами исполнительной власти Российской Федерации новых положений и ограничений, которые противоречат пунктам или разделам технологического регламента; </w:t>
      </w:r>
      <w:r/>
    </w:p>
    <w:p>
      <w:pPr>
        <w:pStyle w:val="1999"/>
        <w:ind w:firstLine="709"/>
        <w:spacing w:line="360" w:lineRule="auto"/>
      </w:pPr>
      <w:r>
        <w:t xml:space="preserve">б) по результатам рассмотрения причин аварий, произошедших по причине недостаточного отражения в технологическом регламенте безопасных условий эксплуатации; </w:t>
      </w:r>
      <w:r/>
    </w:p>
    <w:p>
      <w:pPr>
        <w:pStyle w:val="1999"/>
        <w:ind w:firstLine="709"/>
        <w:spacing w:line="360" w:lineRule="auto"/>
      </w:pPr>
      <w:r>
        <w:t xml:space="preserve">в) при наличии принципиальных изменений в технологии, аппаратурном оформлении, внесение в технологический регламент, которых потребует изменения значительного количества разделов и пунктов технологического регламента. </w:t>
      </w:r>
      <w:r/>
    </w:p>
    <w:p>
      <w:pPr>
        <w:pStyle w:val="1999"/>
        <w:ind w:firstLine="709"/>
        <w:spacing w:line="360" w:lineRule="auto"/>
      </w:pPr>
      <w:r>
        <w:t xml:space="preserve">Решение о необходимости досрочного пересмотра регламента принимается руководством эксплуатирующей организации. Регламент не отменяет и не заменяет действующие правила и нормативные требования технической и безопасной эксплуатации.</w:t>
      </w:r>
      <w:r/>
    </w:p>
    <w:p>
      <w:pPr>
        <w:pStyle w:val="1999"/>
        <w:ind w:firstLine="709"/>
        <w:spacing w:line="360" w:lineRule="auto"/>
      </w:pPr>
      <w:r>
        <w:t xml:space="preserve">В случае отсутствия нео</w:t>
      </w:r>
      <w:r>
        <w:t xml:space="preserve">бходимости в пересмотре регламента или при внесении в него незначительных изменений и дополнений, оформленных в установленном порядке и не затрудняющих использование регламента, срок действия регламента может быть продлен на 5 лет, но не более одного раза.</w:t>
      </w:r>
      <w:r/>
    </w:p>
    <w:p>
      <w:pPr>
        <w:pStyle w:val="1999"/>
        <w:ind w:firstLine="709"/>
        <w:spacing w:line="360" w:lineRule="auto"/>
      </w:pPr>
      <w:r>
        <w:t xml:space="preserve">По истечении двух пятилетних сроков регламент подлежит обязательному пересмотру. </w:t>
      </w:r>
      <w:r/>
    </w:p>
    <w:tbl>
      <w:tblPr>
        <w:tblW w:w="5000" w:type="pct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265"/>
        <w:gridCol w:w="2120"/>
        <w:gridCol w:w="2287"/>
        <w:gridCol w:w="3681"/>
      </w:tblGrid>
      <w:tr>
        <w:tblPrEx/>
        <w:trPr/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5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before="20" w:after="20" w:line="360" w:lineRule="auto"/>
              <w:rPr>
                <w:sz w:val="22"/>
              </w:rPr>
            </w:pPr>
            <w:r>
              <w:rPr>
                <w:sz w:val="22"/>
              </w:rPr>
              <w:t xml:space="preserve">Номер раздела, </w:t>
            </w:r>
            <w:r>
              <w:rPr>
                <w:sz w:val="22"/>
              </w:rPr>
              <w:br w:type="textWrapping" w:clear="all"/>
            </w:r>
            <w:r>
              <w:rPr>
                <w:sz w:val="22"/>
              </w:rPr>
              <w:t xml:space="preserve">пункта регламента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12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before="20" w:after="20" w:line="360" w:lineRule="auto"/>
              <w:rPr>
                <w:sz w:val="22"/>
              </w:rPr>
            </w:pPr>
            <w:r>
              <w:rPr>
                <w:sz w:val="22"/>
              </w:rPr>
              <w:t xml:space="preserve">Старая редакция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87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before="20" w:after="20" w:line="360" w:lineRule="auto"/>
              <w:rPr>
                <w:sz w:val="22"/>
              </w:rPr>
            </w:pPr>
            <w:r>
              <w:rPr>
                <w:sz w:val="22"/>
              </w:rPr>
              <w:t xml:space="preserve">Новая редакция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68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before="20" w:after="20" w:line="360" w:lineRule="auto"/>
              <w:rPr>
                <w:sz w:val="22"/>
              </w:rPr>
            </w:pPr>
            <w:r>
              <w:rPr>
                <w:sz w:val="22"/>
              </w:rPr>
              <w:t xml:space="preserve">Обоснование внесения</w:t>
              <w:br/>
              <w:t xml:space="preserve">изменения и дополнения</w:t>
            </w: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blPrEx/>
        <w:trPr>
          <w:trHeight w:val="4919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5" w:type="dxa"/>
            <w:textDirection w:val="lrTb"/>
            <w:noWrap w:val="false"/>
          </w:tcPr>
          <w:p>
            <w:pPr>
              <w:pStyle w:val="1889"/>
              <w:jc w:val="center"/>
              <w:tabs>
                <w:tab w:val="clear" w:pos="709" w:leader="none"/>
                <w:tab w:val="left" w:pos="1843" w:leader="none"/>
              </w:tabs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20" w:type="dxa"/>
            <w:textDirection w:val="lrTb"/>
            <w:noWrap w:val="false"/>
          </w:tcPr>
          <w:p>
            <w:pPr>
              <w:pStyle w:val="1889"/>
              <w:ind w:firstLine="709"/>
              <w:jc w:val="both"/>
              <w:spacing w:before="120" w:after="0" w:line="360" w:lineRule="auto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87" w:type="dxa"/>
            <w:textDirection w:val="lrTb"/>
            <w:noWrap w:val="false"/>
          </w:tcPr>
          <w:p>
            <w:pPr>
              <w:pStyle w:val="1889"/>
              <w:ind w:firstLine="709"/>
              <w:jc w:val="both"/>
              <w:spacing w:before="120" w:after="0" w:line="360" w:lineRule="auto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681" w:type="dxa"/>
            <w:textDirection w:val="lrTb"/>
            <w:noWrap w:val="false"/>
          </w:tcPr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1889"/>
              <w:jc w:val="both"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</w:tr>
    </w:tbl>
    <w:p>
      <w:pPr>
        <w:pStyle w:val="1889"/>
        <w:ind w:firstLine="709"/>
        <w:jc w:val="both"/>
        <w:spacing w:before="120" w:after="240" w:line="360" w:lineRule="auto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2168"/>
        <w:ind w:firstLine="709"/>
        <w:spacing w:before="0" w:after="0" w:line="360" w:lineRule="auto"/>
        <w:rPr>
          <w:rStyle w:val="1940"/>
        </w:rPr>
      </w:pPr>
      <w:r/>
      <w:bookmarkStart w:id="11" w:name="_Toc13992409"/>
      <w:r>
        <w:rPr>
          <w:rStyle w:val="1940"/>
        </w:rPr>
        <w:t xml:space="preserve">1 </w:t>
      </w:r>
      <w:bookmarkEnd w:id="5"/>
      <w:r/>
      <w:bookmarkEnd w:id="6"/>
      <w:r/>
      <w:bookmarkEnd w:id="7"/>
      <w:r/>
      <w:bookmarkEnd w:id="8"/>
      <w:r/>
      <w:bookmarkEnd w:id="9"/>
      <w:r/>
      <w:bookmarkEnd w:id="10"/>
      <w:r>
        <w:rPr>
          <w:rStyle w:val="1940"/>
        </w:rPr>
        <w:t xml:space="preserve">ОБЩАЯ ХАРАКТЕРИСТИКА ПРОИЗВОДСТВЕННОГО ОБЪЕКТА</w:t>
      </w:r>
      <w:bookmarkEnd w:id="11"/>
      <w:r>
        <w:rPr>
          <w:rStyle w:val="1940"/>
        </w:rPr>
      </w:r>
      <w:r>
        <w:rPr>
          <w:rStyle w:val="1940"/>
        </w:rPr>
      </w:r>
    </w:p>
    <w:p>
      <w:pPr>
        <w:pStyle w:val="1891"/>
        <w:ind w:firstLine="709"/>
        <w:jc w:val="left"/>
        <w:spacing w:line="360" w:lineRule="auto"/>
        <w:rPr>
          <w:rFonts w:ascii="Times New Roman" w:hAnsi="Times New Roman"/>
          <w:i w:val="0"/>
          <w:iCs/>
          <w:sz w:val="24"/>
          <w:szCs w:val="21"/>
        </w:rPr>
      </w:pPr>
      <w:r/>
      <w:bookmarkStart w:id="12" w:name="_Toc389464414"/>
      <w:r/>
      <w:bookmarkStart w:id="13" w:name="_Toc385183271"/>
      <w:r/>
      <w:bookmarkStart w:id="14" w:name="_Toc385183408"/>
      <w:r/>
      <w:bookmarkStart w:id="15" w:name="_Toc385183511"/>
      <w:r/>
      <w:bookmarkStart w:id="16" w:name="_Toc385427481"/>
      <w:r/>
      <w:bookmarkStart w:id="17" w:name="_Toc13992411"/>
      <w:r/>
      <w:bookmarkStart w:id="18" w:name="_Toc335031027"/>
      <w:r/>
      <w:bookmarkStart w:id="19" w:name="_Toc199647474"/>
      <w:r/>
      <w:bookmarkStart w:id="20" w:name="_Toc385517743"/>
      <w:r/>
      <w:bookmarkEnd w:id="12"/>
      <w:r/>
      <w:bookmarkEnd w:id="13"/>
      <w:r/>
      <w:bookmarkEnd w:id="14"/>
      <w:r/>
      <w:bookmarkEnd w:id="15"/>
      <w:r/>
      <w:bookmarkEnd w:id="16"/>
      <w:r/>
      <w:bookmarkEnd w:id="17"/>
      <w:r/>
      <w:bookmarkEnd w:id="20"/>
      <w:r>
        <w:rPr>
          <w:rFonts w:ascii="Times New Roman" w:hAnsi="Times New Roman"/>
          <w:i w:val="0"/>
          <w:iCs/>
          <w:sz w:val="24"/>
          <w:szCs w:val="21"/>
        </w:rPr>
        <w:t xml:space="preserve">1.1</w:t>
        <w:tab/>
      </w:r>
      <w:r>
        <w:rPr>
          <w:rFonts w:ascii="Times New Roman" w:hAnsi="Times New Roman"/>
          <w:i w:val="0"/>
          <w:iCs/>
          <w:caps w:val="0"/>
          <w:smallCaps w:val="0"/>
          <w:sz w:val="24"/>
          <w:szCs w:val="21"/>
        </w:rPr>
        <w:t xml:space="preserve">Общие сведения о месторождении</w:t>
      </w:r>
      <w:bookmarkEnd w:id="18"/>
      <w:r/>
      <w:bookmarkEnd w:id="19"/>
      <w:r>
        <w:rPr>
          <w:rFonts w:ascii="Times New Roman" w:hAnsi="Times New Roman"/>
          <w:i w:val="0"/>
          <w:iCs/>
          <w:sz w:val="24"/>
          <w:szCs w:val="21"/>
        </w:rPr>
      </w:r>
      <w:r>
        <w:rPr>
          <w:rFonts w:ascii="Times New Roman" w:hAnsi="Times New Roman"/>
          <w:i w:val="0"/>
          <w:iCs/>
          <w:sz w:val="24"/>
          <w:szCs w:val="21"/>
        </w:rPr>
      </w:r>
    </w:p>
    <w:p>
      <w:pPr>
        <w:pStyle w:val="1999"/>
        <w:ind w:firstLine="709"/>
        <w:spacing w:line="360" w:lineRule="auto"/>
      </w:pPr>
      <w:r>
        <w:t xml:space="preserve">Месторождение расположено в пределах Тазовского района </w:t>
      </w:r>
      <w:r/>
    </w:p>
    <w:p>
      <w:pPr>
        <w:pStyle w:val="1999"/>
        <w:ind w:firstLine="709"/>
        <w:spacing w:line="360" w:lineRule="auto"/>
      </w:pPr>
      <w:r>
        <w:t xml:space="preserve">Дневная поверхность на территории месторождения представляет собой полог</w:t>
      </w:r>
      <w:r>
        <w:t xml:space="preserve">о-холмистую заболоченную равнину с общим наклоном в северо-восточном направлении. До 60% территории покрыто озерами. Наиболее крупные реки (Малая и Большая Хэ-яха, Юридейяха) несудоходны и пересекают территорию месторождения в северо-восточном направлении.</w:t>
      </w:r>
      <w:r/>
    </w:p>
    <w:p>
      <w:pPr>
        <w:pStyle w:val="1999"/>
        <w:ind w:firstLine="709"/>
        <w:spacing w:line="360" w:lineRule="auto"/>
      </w:pPr>
      <w:r>
        <w:t xml:space="preserve">Месторождение расположено в зоне развития сплошной толщи многолетней мерзлоты, подошва которой в разведочных скважинах просл</w:t>
      </w:r>
      <w:r>
        <w:t xml:space="preserve">еживается на глубинах 380-495 м. Кровля мерзлых пород залегает на глубинах от 0.3-0.8 м (на торфяных грунтах) до 2-5 м (на заливных участках). Под руслами рек возможны инфильтрационные талики и кровля многолетнемерзлых пород погружается на 10-50 м и более.</w:t>
      </w:r>
      <w:r/>
    </w:p>
    <w:p>
      <w:pPr>
        <w:pStyle w:val="1999"/>
        <w:ind w:firstLine="709"/>
        <w:spacing w:line="360" w:lineRule="auto"/>
      </w:pPr>
      <w:r>
        <w:t xml:space="preserve">Климат Заполярного месторождения избыточно-влажный, с холодным летом и умеренно суровой снежной зимой.</w:t>
      </w:r>
      <w:r/>
    </w:p>
    <w:p>
      <w:pPr>
        <w:pStyle w:val="1999"/>
        <w:ind w:firstLine="709"/>
        <w:spacing w:line="360" w:lineRule="auto"/>
      </w:pPr>
      <w:r>
        <w:t xml:space="preserve">Климатические данные холодного периода года:</w:t>
        <w:tab/>
      </w:r>
      <w:r/>
    </w:p>
    <w:p>
      <w:pPr>
        <w:pStyle w:val="2007"/>
        <w:numPr>
          <w:ilvl w:val="0"/>
          <w:numId w:val="21"/>
        </w:numPr>
        <w:ind w:left="0" w:firstLine="0"/>
        <w:spacing w:line="360" w:lineRule="auto"/>
      </w:pPr>
      <w:r>
        <w:t xml:space="preserve">средняя температура января</w:t>
        <w:tab/>
        <w:tab/>
        <w:tab/>
        <w:tab/>
        <w:tab/>
        <w:t xml:space="preserve">минус 26.7 ºС;</w:t>
      </w:r>
      <w:r/>
    </w:p>
    <w:p>
      <w:pPr>
        <w:pStyle w:val="2007"/>
        <w:numPr>
          <w:ilvl w:val="0"/>
          <w:numId w:val="21"/>
        </w:numPr>
        <w:ind w:left="0" w:firstLine="0"/>
        <w:spacing w:line="360" w:lineRule="auto"/>
      </w:pPr>
      <w:r>
        <w:t xml:space="preserve">абсолютный минимум</w:t>
        <w:tab/>
        <w:tab/>
        <w:tab/>
        <w:tab/>
        <w:tab/>
        <w:tab/>
        <w:t xml:space="preserve">минус 60 ºС;</w:t>
      </w:r>
      <w:r/>
    </w:p>
    <w:p>
      <w:pPr>
        <w:pStyle w:val="2007"/>
        <w:numPr>
          <w:ilvl w:val="0"/>
          <w:numId w:val="21"/>
        </w:numPr>
        <w:ind w:left="0" w:firstLine="0"/>
        <w:spacing w:line="360" w:lineRule="auto"/>
      </w:pPr>
      <w:r>
        <w:t xml:space="preserve">температура воздуха самой холодной пятидневки </w:t>
        <w:tab/>
        <w:tab/>
        <w:t xml:space="preserve">минус 46 ºС;</w:t>
      </w:r>
      <w:r/>
    </w:p>
    <w:p>
      <w:pPr>
        <w:pStyle w:val="1999"/>
        <w:ind w:firstLine="709"/>
        <w:spacing w:line="360" w:lineRule="auto"/>
      </w:pPr>
      <w:r>
        <w:t xml:space="preserve">Климатические данные теплого периода года:</w:t>
      </w:r>
      <w:r/>
    </w:p>
    <w:p>
      <w:pPr>
        <w:pStyle w:val="2007"/>
        <w:numPr>
          <w:ilvl w:val="0"/>
          <w:numId w:val="21"/>
        </w:numPr>
        <w:ind w:left="0" w:firstLine="0"/>
        <w:spacing w:line="360" w:lineRule="auto"/>
      </w:pPr>
      <w:r>
        <w:t xml:space="preserve">средняя температура июля</w:t>
        <w:tab/>
        <w:tab/>
        <w:tab/>
        <w:tab/>
        <w:tab/>
        <w:tab/>
        <w:t xml:space="preserve">13.4 ºС;</w:t>
      </w:r>
      <w:r/>
    </w:p>
    <w:p>
      <w:pPr>
        <w:pStyle w:val="2007"/>
        <w:numPr>
          <w:ilvl w:val="0"/>
          <w:numId w:val="21"/>
        </w:numPr>
        <w:ind w:left="0" w:firstLine="0"/>
        <w:spacing w:line="360" w:lineRule="auto"/>
      </w:pPr>
      <w:r>
        <w:t xml:space="preserve">абсолютный максимум</w:t>
        <w:tab/>
        <w:tab/>
        <w:tab/>
        <w:tab/>
        <w:tab/>
        <w:tab/>
        <w:t xml:space="preserve">32 ºС.</w:t>
      </w:r>
      <w:r/>
    </w:p>
    <w:p>
      <w:pPr>
        <w:pStyle w:val="1891"/>
        <w:ind w:firstLine="709"/>
        <w:jc w:val="left"/>
        <w:spacing w:line="360" w:lineRule="auto"/>
        <w:rPr>
          <w:rFonts w:ascii="Times New Roman" w:hAnsi="Times New Roman"/>
          <w:i w:val="0"/>
          <w:iCs/>
          <w:sz w:val="24"/>
          <w:szCs w:val="21"/>
        </w:rPr>
      </w:pPr>
      <w:r/>
      <w:bookmarkStart w:id="21" w:name="_Toc335031028"/>
      <w:r/>
      <w:bookmarkStart w:id="22" w:name="_Toc199647475"/>
      <w:r>
        <w:rPr>
          <w:rFonts w:ascii="Times New Roman" w:hAnsi="Times New Roman"/>
          <w:i w:val="0"/>
          <w:iCs/>
          <w:sz w:val="24"/>
          <w:szCs w:val="21"/>
        </w:rPr>
        <w:t xml:space="preserve">1.2</w:t>
        <w:tab/>
      </w:r>
      <w:r>
        <w:rPr>
          <w:rFonts w:ascii="Times New Roman" w:hAnsi="Times New Roman"/>
          <w:i w:val="0"/>
          <w:iCs/>
          <w:caps w:val="0"/>
          <w:smallCaps w:val="0"/>
          <w:sz w:val="24"/>
          <w:szCs w:val="21"/>
        </w:rPr>
        <w:t xml:space="preserve">Добыча газа</w:t>
      </w:r>
      <w:bookmarkEnd w:id="21"/>
      <w:r/>
      <w:bookmarkEnd w:id="22"/>
      <w:r>
        <w:rPr>
          <w:rFonts w:ascii="Times New Roman" w:hAnsi="Times New Roman"/>
          <w:i w:val="0"/>
          <w:iCs/>
          <w:sz w:val="24"/>
          <w:szCs w:val="21"/>
        </w:rPr>
      </w:r>
      <w:r>
        <w:rPr>
          <w:rFonts w:ascii="Times New Roman" w:hAnsi="Times New Roman"/>
          <w:i w:val="0"/>
          <w:iCs/>
          <w:sz w:val="24"/>
          <w:szCs w:val="21"/>
        </w:rPr>
      </w:r>
    </w:p>
    <w:p>
      <w:pPr>
        <w:pStyle w:val="1999"/>
        <w:ind w:firstLine="709"/>
        <w:spacing w:line="360" w:lineRule="auto"/>
      </w:pPr>
      <w:r>
        <w:t xml:space="preserve">1.2.1</w:t>
        <w:tab/>
        <w:t xml:space="preserve">Газ отбирается с двух пластов БТ</w:t>
      </w:r>
      <w:r>
        <w:rPr>
          <w:vertAlign w:val="subscript"/>
        </w:rPr>
        <w:t xml:space="preserve">6-8</w:t>
      </w:r>
      <w:r>
        <w:t xml:space="preserve"> и БТ</w:t>
      </w:r>
      <w:r>
        <w:rPr>
          <w:vertAlign w:val="subscript"/>
        </w:rPr>
        <w:t xml:space="preserve">10</w:t>
      </w:r>
      <w:r>
        <w:t xml:space="preserve">. Добыча газа осуществляется через 61 эксплуатационную скважину. </w:t>
      </w:r>
      <w:r/>
    </w:p>
    <w:p>
      <w:pPr>
        <w:pStyle w:val="2159"/>
        <w:ind w:firstLine="709"/>
        <w:jc w:val="both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</w:pPr>
      <w:r>
        <w:t xml:space="preserve">1.2.2</w:t>
        <w:tab/>
        <w:t xml:space="preserve">Сбор газа представляет собой систему внутрипромысловых газосборных шлейфов</w:t>
      </w:r>
      <w:r>
        <w:rPr>
          <w:vertAlign w:val="superscript"/>
        </w:rPr>
        <w:t xml:space="preserve">1</w:t>
      </w:r>
      <w:r>
        <w:t xml:space="preserve">, предназначенных для подачи газа от ку</w:t>
      </w:r>
      <w:r>
        <w:t xml:space="preserve">стов скважин на установку комплексной подготовки газа. Схема сбора газа однотрубная лучевая с подключением 4 ÷ 7 скважин, расположенных вдоль продольной оси на расстоянии 40 метров друг от друга. Характеристика газопроводов-шлейфов приведена в таблице 1.1.</w:t>
      </w:r>
      <w:r/>
    </w:p>
    <w:p>
      <w:pPr>
        <w:pStyle w:val="1999"/>
        <w:ind w:firstLine="709"/>
        <w:spacing w:line="360" w:lineRule="auto"/>
      </w:pPr>
      <w:r>
        <w:t xml:space="preserve">Прокладка каждого газопровода-шлейфа от площадки куста газоконденсатных скважин до площадки УКПГ выполнена в заводской теплоизоляции тремя типами: подз</w:t>
      </w:r>
      <w:r>
        <w:t xml:space="preserve">емная, наземная, надземная. Типы прокладки приняты в зависимости от типа грунтов, по которым проложен газопровод-шлейф, а также наличия на трассе газопровода-шлейфа заболоченных участков местности и пересечений с естественными и искусственными преградами. </w:t>
      </w:r>
      <w:r/>
    </w:p>
    <w:p>
      <w:pPr>
        <w:pStyle w:val="2048"/>
        <w:contextualSpacing/>
        <w:ind w:left="0" w:firstLine="0"/>
        <w:keepLines/>
        <w:spacing w:before="0" w:after="0" w:line="240" w:lineRule="auto"/>
        <w:rPr>
          <w:b w:val="0"/>
          <w:bCs/>
        </w:rPr>
      </w:pPr>
      <w:r>
        <w:rPr>
          <w:b w:val="0"/>
          <w:bCs/>
        </w:rPr>
        <w:t xml:space="preserve">Таблица 1.1 – Характеристика газопроводов-шлейфов</w:t>
      </w:r>
      <w:r>
        <w:rPr>
          <w:b w:val="0"/>
          <w:bCs/>
          <w:vertAlign w:val="superscript"/>
        </w:rPr>
        <w:t xml:space="preserve">1</w:t>
      </w:r>
      <w:r>
        <w:rPr>
          <w:b w:val="0"/>
          <w:bCs/>
        </w:rPr>
      </w:r>
      <w:r>
        <w:rPr>
          <w:b w:val="0"/>
          <w:bCs/>
        </w:rPr>
      </w:r>
    </w:p>
    <w:p>
      <w:pPr>
        <w:pStyle w:val="2048"/>
        <w:contextualSpacing/>
        <w:ind w:left="0" w:firstLine="0"/>
        <w:keepLines/>
        <w:spacing w:before="0" w:after="0" w:line="240" w:lineRule="auto"/>
        <w:rPr>
          <w:b w:val="0"/>
          <w:bCs/>
        </w:rPr>
      </w:pPr>
      <w:r>
        <w:rPr>
          <w:b w:val="0"/>
          <w:bCs/>
        </w:rPr>
      </w:r>
      <w:r>
        <w:rPr>
          <w:b w:val="0"/>
          <w:bCs/>
        </w:rPr>
      </w:r>
      <w:r>
        <w:rPr>
          <w:b w:val="0"/>
          <w:bCs/>
        </w:rPr>
      </w:r>
    </w:p>
    <w:tbl>
      <w:tblPr>
        <w:tblW w:w="9242" w:type="dxa"/>
        <w:tblInd w:w="92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00" w:firstRow="0" w:lastRow="0" w:firstColumn="0" w:lastColumn="0" w:noHBand="0" w:noVBand="0"/>
      </w:tblPr>
      <w:tblGrid>
        <w:gridCol w:w="1365"/>
        <w:gridCol w:w="1146"/>
        <w:gridCol w:w="1658"/>
        <w:gridCol w:w="2671"/>
        <w:gridCol w:w="2402"/>
      </w:tblGrid>
      <w:tr>
        <w:tblPrEx/>
        <w:trPr>
          <w:trHeight w:val="575"/>
        </w:trPr>
        <w:tc>
          <w:tcPr>
            <w:shd w:val="clear" w:color="auto" w:fill="f3f3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5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60" w:after="60"/>
              <w:rPr>
                <w:b w:val="0"/>
              </w:rPr>
            </w:pPr>
            <w:r>
              <w:rPr>
                <w:b w:val="0"/>
              </w:rPr>
              <w:t xml:space="preserve">Куст</w:t>
              <w:br/>
              <w:t xml:space="preserve">газоконденсатных</w:t>
              <w:br/>
              <w:t xml:space="preserve">скважин</w:t>
            </w:r>
            <w:r>
              <w:rPr>
                <w:b w:val="0"/>
              </w:rPr>
            </w:r>
            <w:r>
              <w:rPr>
                <w:b w:val="0"/>
              </w:rPr>
            </w:r>
          </w:p>
        </w:tc>
        <w:tc>
          <w:tcPr>
            <w:gridSpan w:val="2"/>
            <w:shd w:val="clear" w:color="auto" w:fill="f3f3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04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/>
              <w:rPr>
                <w:b w:val="0"/>
              </w:rPr>
            </w:pPr>
            <w:r>
              <w:rPr>
                <w:b w:val="0"/>
              </w:rPr>
              <w:t xml:space="preserve">Пласт</w:t>
            </w:r>
            <w:r>
              <w:rPr>
                <w:b w:val="0"/>
              </w:rPr>
            </w:r>
            <w:r>
              <w:rPr>
                <w:b w:val="0"/>
              </w:rPr>
            </w:r>
          </w:p>
        </w:tc>
        <w:tc>
          <w:tcPr>
            <w:shd w:val="clear" w:color="auto" w:fill="f3f3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1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60" w:after="60"/>
              <w:rPr>
                <w:b w:val="0"/>
              </w:rPr>
            </w:pPr>
            <w:r>
              <w:rPr>
                <w:b w:val="0"/>
              </w:rPr>
              <w:t xml:space="preserve">Длина шлейфа до</w:t>
              <w:br/>
              <w:t xml:space="preserve">УКПГ-, м</w:t>
            </w:r>
            <w:r>
              <w:rPr>
                <w:b w:val="0"/>
              </w:rPr>
            </w:r>
            <w:r>
              <w:rPr>
                <w:b w:val="0"/>
              </w:rPr>
            </w:r>
          </w:p>
        </w:tc>
        <w:tc>
          <w:tcPr>
            <w:shd w:val="clear" w:color="auto" w:fill="f3f3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2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60" w:after="60"/>
              <w:rPr>
                <w:b w:val="0"/>
              </w:rPr>
            </w:pPr>
            <w:r>
              <w:rPr>
                <w:b w:val="0"/>
              </w:rPr>
              <w:t xml:space="preserve">Диаметр шлейфа, толщина стенки, мм</w:t>
            </w:r>
            <w:r>
              <w:rPr>
                <w:b w:val="0"/>
              </w:rPr>
            </w:r>
            <w:r>
              <w:rPr>
                <w:b w:val="0"/>
              </w:rPr>
            </w:r>
          </w:p>
        </w:tc>
      </w:tr>
      <w:tr>
        <w:tblPrEx/>
        <w:trPr>
          <w:trHeight w:val="454"/>
        </w:trPr>
        <w:tc>
          <w:tcPr>
            <w:shd w:val="clear" w:color="auto" w:fill="f3f3f3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5" w:type="dxa"/>
            <w:vMerge w:val="continue"/>
            <w:textDirection w:val="lrTb"/>
            <w:noWrap w:val="false"/>
          </w:tcPr>
          <w:p>
            <w:pPr>
              <w:pStyle w:val="2030"/>
              <w:spacing w:before="60" w:after="60"/>
            </w:pPr>
            <w:r/>
            <w:r/>
          </w:p>
        </w:tc>
        <w:tc>
          <w:tcPr>
            <w:shd w:val="clear" w:color="auto" w:fill="f3f3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6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/>
              <w:rPr>
                <w:b w:val="0"/>
              </w:rPr>
            </w:pPr>
            <w:r>
              <w:rPr>
                <w:b w:val="0"/>
              </w:rPr>
              <w:t xml:space="preserve">БТ</w:t>
            </w:r>
            <w:r>
              <w:rPr>
                <w:b w:val="0"/>
                <w:vertAlign w:val="subscript"/>
              </w:rPr>
              <w:t xml:space="preserve">6-8</w:t>
            </w:r>
            <w:r>
              <w:rPr>
                <w:b w:val="0"/>
              </w:rPr>
            </w:r>
            <w:r>
              <w:rPr>
                <w:b w:val="0"/>
              </w:rPr>
            </w:r>
          </w:p>
        </w:tc>
        <w:tc>
          <w:tcPr>
            <w:shd w:val="clear" w:color="auto" w:fill="f3f3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8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/>
              <w:rPr>
                <w:b w:val="0"/>
              </w:rPr>
            </w:pPr>
            <w:r>
              <w:rPr>
                <w:b w:val="0"/>
              </w:rPr>
              <w:t xml:space="preserve">БТ</w:t>
            </w:r>
            <w:r>
              <w:rPr>
                <w:b w:val="0"/>
                <w:vertAlign w:val="subscript"/>
              </w:rPr>
              <w:t xml:space="preserve">10</w:t>
            </w:r>
            <w:r>
              <w:rPr>
                <w:b w:val="0"/>
              </w:rPr>
            </w:r>
            <w:r>
              <w:rPr>
                <w:b w:val="0"/>
              </w:rPr>
            </w:r>
          </w:p>
        </w:tc>
        <w:tc>
          <w:tcPr>
            <w:shd w:val="clear" w:color="auto" w:fill="f3f3f3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1" w:type="dxa"/>
            <w:vMerge w:val="continue"/>
            <w:textDirection w:val="lrTb"/>
            <w:noWrap w:val="false"/>
          </w:tcPr>
          <w:p>
            <w:pPr>
              <w:pStyle w:val="2030"/>
              <w:spacing w:before="60" w:after="60"/>
            </w:pPr>
            <w:r/>
            <w:r/>
          </w:p>
        </w:tc>
        <w:tc>
          <w:tcPr>
            <w:shd w:val="clear" w:color="auto" w:fill="f3f3f3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2" w:type="dxa"/>
            <w:vMerge w:val="continue"/>
            <w:textDirection w:val="lrTb"/>
            <w:noWrap w:val="false"/>
          </w:tcPr>
          <w:p>
            <w:pPr>
              <w:pStyle w:val="2030"/>
              <w:spacing w:before="60" w:after="60"/>
            </w:pPr>
            <w:r/>
            <w:r/>
          </w:p>
        </w:tc>
      </w:tr>
      <w:tr>
        <w:tblPrEx/>
        <w:trPr>
          <w:trHeight w:val="25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5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1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6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3 188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325х24</w:t>
            </w:r>
            <w:r/>
          </w:p>
        </w:tc>
      </w:tr>
      <w:tr>
        <w:tblPrEx/>
        <w:trPr>
          <w:trHeight w:val="25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5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6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1 045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273х20</w:t>
            </w:r>
            <w:r/>
          </w:p>
        </w:tc>
      </w:tr>
      <w:tr>
        <w:tblPrEx/>
        <w:trPr>
          <w:trHeight w:val="25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5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6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4 713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325х24</w:t>
            </w:r>
            <w:r/>
          </w:p>
        </w:tc>
      </w:tr>
      <w:tr>
        <w:tblPrEx/>
        <w:trPr>
          <w:trHeight w:val="25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5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6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3 298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325х24</w:t>
            </w:r>
            <w:r/>
          </w:p>
        </w:tc>
      </w:tr>
      <w:tr>
        <w:tblPrEx/>
        <w:trPr>
          <w:trHeight w:val="25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5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5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6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1 466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273х20</w:t>
            </w:r>
            <w:r/>
          </w:p>
        </w:tc>
      </w:tr>
      <w:tr>
        <w:tblPrEx/>
        <w:trPr>
          <w:trHeight w:val="25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5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6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9 097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273х20</w:t>
            </w:r>
            <w:r/>
          </w:p>
        </w:tc>
      </w:tr>
      <w:tr>
        <w:tblPrEx/>
        <w:trPr>
          <w:trHeight w:val="25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5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7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6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5 937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325х24</w:t>
            </w:r>
            <w:r/>
          </w:p>
        </w:tc>
      </w:tr>
      <w:tr>
        <w:tblPrEx/>
        <w:trPr>
          <w:trHeight w:val="25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5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8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6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5 560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325х24</w:t>
            </w:r>
            <w:r/>
          </w:p>
        </w:tc>
      </w:tr>
      <w:tr>
        <w:tblPrEx/>
        <w:trPr>
          <w:trHeight w:val="25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5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9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6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8 645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325х24</w:t>
            </w:r>
            <w:r/>
          </w:p>
        </w:tc>
      </w:tr>
      <w:tr>
        <w:tblPrEx/>
        <w:trPr>
          <w:trHeight w:val="255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65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10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6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5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7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7 520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/>
            </w:pPr>
            <w:r>
              <w:t xml:space="preserve">325х24</w:t>
            </w:r>
            <w:r/>
          </w:p>
        </w:tc>
      </w:tr>
    </w:tbl>
    <w:p>
      <w:pPr>
        <w:pStyle w:val="2048"/>
        <w:contextualSpacing/>
        <w:ind w:left="0" w:firstLine="0"/>
        <w:keepLines/>
        <w:spacing w:before="0" w:after="0" w:line="240" w:lineRule="auto"/>
        <w:rPr>
          <w:b w:val="0"/>
          <w:bCs w:val="0"/>
          <w:position w:val="0"/>
          <w:sz w:val="20"/>
          <w:vertAlign w:val="baseline"/>
        </w:rPr>
      </w:pPr>
      <w:r>
        <w:rPr>
          <w:b w:val="0"/>
          <w:bCs w:val="0"/>
          <w:position w:val="0"/>
          <w:sz w:val="20"/>
          <w:vertAlign w:val="baseline"/>
        </w:rPr>
      </w:r>
      <w:r>
        <w:rPr>
          <w:b w:val="0"/>
          <w:bCs w:val="0"/>
          <w:position w:val="0"/>
          <w:sz w:val="20"/>
          <w:vertAlign w:val="baseline"/>
        </w:rPr>
      </w:r>
      <w:r>
        <w:rPr>
          <w:b w:val="0"/>
          <w:bCs w:val="0"/>
          <w:position w:val="0"/>
          <w:sz w:val="20"/>
          <w:vertAlign w:val="baseline"/>
        </w:rPr>
      </w:r>
    </w:p>
    <w:p>
      <w:pPr>
        <w:pStyle w:val="2048"/>
        <w:contextualSpacing/>
        <w:ind w:left="0" w:firstLine="0"/>
        <w:keepLines/>
        <w:spacing w:before="0" w:after="0" w:line="240" w:lineRule="auto"/>
        <w:rPr>
          <w:b w:val="0"/>
          <w:bCs w:val="0"/>
          <w:position w:val="0"/>
          <w:sz w:val="20"/>
          <w:vertAlign w:val="baseline"/>
        </w:rPr>
      </w:pPr>
      <w:r>
        <w:rPr>
          <w:b w:val="0"/>
          <w:bCs w:val="0"/>
          <w:position w:val="0"/>
          <w:sz w:val="20"/>
          <w:vertAlign w:val="baseline"/>
        </w:rPr>
      </w:r>
      <w:r>
        <w:rPr>
          <w:b w:val="0"/>
          <w:bCs w:val="0"/>
          <w:position w:val="0"/>
          <w:sz w:val="20"/>
          <w:vertAlign w:val="baseline"/>
        </w:rPr>
      </w:r>
      <w:r>
        <w:rPr>
          <w:b w:val="0"/>
          <w:bCs w:val="0"/>
          <w:position w:val="0"/>
          <w:sz w:val="20"/>
          <w:vertAlign w:val="baseline"/>
        </w:rPr>
      </w:r>
    </w:p>
    <w:p>
      <w:pPr>
        <w:pStyle w:val="1889"/>
        <w:ind w:left="0" w:right="0" w:firstLine="709"/>
        <w:jc w:val="both"/>
        <w:spacing w:before="0" w:after="0" w:line="57" w:lineRule="atLeast"/>
        <w:rPr>
          <w:b w:val="0"/>
          <w:bCs w:val="0"/>
          <w:position w:val="0"/>
          <w:sz w:val="20"/>
          <w:vertAlign w:val="baseline"/>
          <w14:ligatures w14:val="none"/>
        </w:rPr>
      </w:pPr>
      <w:r>
        <w:rPr>
          <w:b w:val="0"/>
          <w:bCs/>
          <w:vertAlign w:val="superscript"/>
        </w:rPr>
        <w:t xml:space="preserve">1 </w:t>
      </w:r>
      <w:r>
        <w:rPr>
          <w:b w:val="0"/>
          <w:bCs/>
          <w:position w:val="0"/>
          <w:sz w:val="20"/>
          <w:vertAlign w:val="baseline"/>
        </w:rPr>
        <w:t xml:space="preserve">Газопроводы-шлейфы входят в состав </w:t>
      </w:r>
      <w:r>
        <w:rPr>
          <w:b w:val="0"/>
          <w:bCs w:val="0"/>
          <w:position w:val="0"/>
          <w:sz w:val="20"/>
          <w:vertAlign w:val="baseline"/>
        </w:rPr>
        <w:t xml:space="preserve">ОПО «Система промысловых трубопроводов Газового промысла №   месторождения» № А59-50040-0161</w:t>
      </w:r>
      <w:r>
        <w:rPr>
          <w:b w:val="0"/>
          <w:bCs w:val="0"/>
          <w:position w:val="0"/>
          <w:sz w:val="20"/>
          <w:vertAlign w:val="baseline"/>
          <w14:ligatures w14:val="none"/>
        </w:rPr>
      </w:r>
      <w:r>
        <w:rPr>
          <w:b w:val="0"/>
          <w:bCs w:val="0"/>
          <w:position w:val="0"/>
          <w:sz w:val="20"/>
          <w:vertAlign w:val="baseline"/>
          <w14:ligatures w14:val="none"/>
        </w:rPr>
      </w:r>
    </w:p>
    <w:p>
      <w:pPr>
        <w:pStyle w:val="2048"/>
        <w:contextualSpacing/>
        <w:ind w:left="0" w:firstLine="0"/>
        <w:keepLines/>
        <w:spacing w:before="0" w:after="0" w:line="240" w:lineRule="auto"/>
        <w:rPr>
          <w:b w:val="0"/>
          <w:bCs w:val="0"/>
        </w:rPr>
      </w:pPr>
      <w:r>
        <w:rPr>
          <w:b w:val="0"/>
          <w:bCs w:val="0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1999"/>
        <w:ind w:firstLine="709"/>
        <w:spacing w:line="360" w:lineRule="auto"/>
      </w:pPr>
      <w:r>
        <w:t xml:space="preserve">1.2.3</w:t>
        <w:tab/>
        <w:t xml:space="preserve">Для оборудования устья скважин используется фонтанная арматура типа </w:t>
        <w:br/>
        <w:t xml:space="preserve">АФ6 80/65</w:t>
      </w:r>
      <w:r>
        <w:rPr>
          <w:rFonts w:ascii="Symbol" w:hAnsi="Symbol" w:eastAsia="Symbol" w:cs="Symbol"/>
        </w:rPr>
        <w:t xml:space="preserve">´</w:t>
      </w:r>
      <w:r>
        <w:t xml:space="preserve">35.0 К1 ХЛ. Комплекс фонтанной арматуры и внутрискважинного оборудования обеспечивают освоение и глушение скважин. Технологическая схема куста газовых скважин ГП- представлена в Приложении Б.</w:t>
      </w:r>
      <w:r/>
    </w:p>
    <w:p>
      <w:pPr>
        <w:pStyle w:val="1999"/>
        <w:ind w:firstLine="709"/>
        <w:spacing w:line="360" w:lineRule="auto"/>
      </w:pPr>
      <w:r/>
      <w:bookmarkStart w:id="23" w:name="_Toc199647476"/>
      <w:r/>
      <w:bookmarkEnd w:id="23"/>
      <w:r>
        <w:t xml:space="preserve">На каждой скважине куста установлен расходомер "ГиперФлоу-3Пм", который по цифровым каналам связи контролируемых пунктов (КП) телемеханики выдает значение расхода газа, поступающего со скважины, а также давления и температуры газа. Расход </w:t>
      </w:r>
      <w:r>
        <w:t xml:space="preserve">газа по каждой скважине и давление в коллекторе куста дистанционно регулируется по каналам системы телемеханики с помощью электроприводных клапанов-регуляторов. Отключение скважины при порыве шлейфа осуществляется клапаном-отсекателем К-302 (Ду100, Ру32). </w:t>
      </w:r>
      <w:r/>
    </w:p>
    <w:p>
      <w:pPr>
        <w:pStyle w:val="1999"/>
        <w:ind w:firstLine="709"/>
        <w:spacing w:line="360" w:lineRule="auto"/>
      </w:pPr>
      <w:r>
        <w:t xml:space="preserve">Автоматическая подача метанола в затрубное пространство скважин, перед регулирующим клапаном и в коллектор куста осуществл</w:t>
      </w:r>
      <w:r>
        <w:t xml:space="preserve">яется системой подачи ингибитора (СПИ</w:t>
        <w:noBreakHyphen/>
        <w:t xml:space="preserve">1), оснащенной расходомером и регулятором расхода метанола. Для оценки условий гидратообразования в шлейфах скважин после регулятора давления и в газовом коллекторе предусматриваются поверхностные датчики температуры г</w:t>
      </w:r>
      <w:r>
        <w:rPr>
          <w:shd w:val="clear" w:color="auto" w:fill="auto"/>
        </w:rPr>
        <w:t xml:space="preserve">аза.</w:t>
      </w:r>
      <w:r/>
    </w:p>
    <w:p>
      <w:pPr>
        <w:pStyle w:val="1999"/>
        <w:ind w:firstLine="709"/>
        <w:spacing w:line="360" w:lineRule="auto"/>
      </w:pPr>
      <w:r>
        <w:t xml:space="preserve">Подача метанола на кусты скважин производится по трубопроводам, подключенным по лучевой схеме Ду50 мм.</w:t>
      </w:r>
      <w:r/>
    </w:p>
    <w:p>
      <w:pPr>
        <w:pStyle w:val="1999"/>
        <w:ind w:firstLine="709"/>
        <w:spacing w:line="360" w:lineRule="auto"/>
      </w:pPr>
      <w:r>
        <w:t xml:space="preserve">Проведение газоконденсатных исследований на скважинах предусматривается с помощью передвижного исследовательского сепаратора. </w:t>
      </w:r>
      <w:r/>
    </w:p>
    <w:p>
      <w:pPr>
        <w:pStyle w:val="1999"/>
        <w:ind w:firstLine="709"/>
        <w:spacing w:line="360" w:lineRule="auto"/>
      </w:pPr>
      <w:r>
        <w:t xml:space="preserve">Глушение скважины проводится через задавочные линии, выведенные к автодороге куста.</w:t>
      </w:r>
      <w:r/>
    </w:p>
    <w:p>
      <w:pPr>
        <w:sectPr>
          <w:headerReference w:type="default" r:id="rId9"/>
          <w:footerReference w:type="default" r:id="rId40"/>
          <w:footnotePr/>
          <w:endnotePr/>
          <w:type w:val="nextPage"/>
          <w:pgSz w:w="11906" w:h="16838" w:orient="portrait"/>
          <w:pgMar w:top="1134" w:right="851" w:bottom="1134" w:left="1701" w:header="720" w:footer="533" w:gutter="0"/>
          <w:cols w:num="1" w:sep="0" w:space="708" w:equalWidth="1"/>
          <w:docGrid w:linePitch="360"/>
        </w:sectPr>
      </w:pPr>
      <w:r/>
      <w:r/>
    </w:p>
    <w:p>
      <w:pPr>
        <w:pStyle w:val="2168"/>
        <w:ind w:firstLine="709"/>
        <w:spacing w:before="0" w:after="0" w:line="360" w:lineRule="auto"/>
        <w:rPr>
          <w:b/>
          <w:bCs/>
        </w:rPr>
      </w:pPr>
      <w:r/>
      <w:bookmarkStart w:id="24" w:name="_Toc385183271_Копия_1"/>
      <w:r/>
      <w:bookmarkStart w:id="25" w:name="_Toc385427482"/>
      <w:r/>
      <w:bookmarkStart w:id="26" w:name="_Toc389464414_Копия_1"/>
      <w:r/>
      <w:bookmarkStart w:id="27" w:name="_Toc385183511_Копия_1"/>
      <w:r/>
      <w:bookmarkStart w:id="28" w:name="_Toc199647476_Копия_1"/>
      <w:r/>
      <w:bookmarkStart w:id="29" w:name="_Toc385517743_Копия_1"/>
      <w:r/>
      <w:bookmarkStart w:id="30" w:name="_Toc13992411_Копия_1"/>
      <w:r/>
      <w:bookmarkStart w:id="31" w:name="_Toc385183408_Копия_1"/>
      <w:r/>
      <w:bookmarkStart w:id="32" w:name="_Toc184786778"/>
      <w:r/>
      <w:bookmarkStart w:id="33" w:name="_Toc385517744"/>
      <w:r/>
      <w:bookmarkStart w:id="34" w:name="_Toc385427481_Копия_1"/>
      <w:r/>
      <w:bookmarkStart w:id="35" w:name="_Toc13992412"/>
      <w:r/>
      <w:bookmarkStart w:id="36" w:name="_Toc385183512"/>
      <w:r/>
      <w:bookmarkStart w:id="37" w:name="_Toc385183272"/>
      <w:r/>
      <w:bookmarkStart w:id="38" w:name="_Toc184727289"/>
      <w:r/>
      <w:bookmarkStart w:id="39" w:name="_Toc385183409"/>
      <w:r/>
      <w:bookmarkStart w:id="40" w:name="_Toc184786952"/>
      <w:r/>
      <w:bookmarkStart w:id="41" w:name="_Toc184800429"/>
      <w:r/>
      <w:bookmarkStart w:id="42" w:name="_Toc389464415"/>
      <w:r/>
      <w:bookmarkEnd w:id="24"/>
      <w:r/>
      <w:bookmarkEnd w:id="26"/>
      <w:r/>
      <w:bookmarkEnd w:id="27"/>
      <w:r/>
      <w:bookmarkEnd w:id="28"/>
      <w:r/>
      <w:bookmarkEnd w:id="29"/>
      <w:r/>
      <w:bookmarkEnd w:id="30"/>
      <w:r/>
      <w:bookmarkEnd w:id="31"/>
      <w:r/>
      <w:bookmarkEnd w:id="34"/>
      <w:r>
        <w:rPr>
          <w:rStyle w:val="1940"/>
        </w:rPr>
        <w:t xml:space="preserve">2 ХАРАКТЕРИСТИКА ИСХОДНОГО СЫРЬЯ,</w:t>
      </w:r>
      <w:bookmarkEnd w:id="25"/>
      <w:r/>
      <w:bookmarkEnd w:id="32"/>
      <w:r/>
      <w:bookmarkEnd w:id="33"/>
      <w:r/>
      <w:bookmarkEnd w:id="36"/>
      <w:r/>
      <w:bookmarkEnd w:id="37"/>
      <w:r/>
      <w:bookmarkEnd w:id="38"/>
      <w:r/>
      <w:bookmarkEnd w:id="39"/>
      <w:r/>
      <w:bookmarkEnd w:id="40"/>
      <w:r/>
      <w:bookmarkEnd w:id="41"/>
      <w:r/>
      <w:bookmarkEnd w:id="42"/>
      <w:r>
        <w:rPr>
          <w:rStyle w:val="1940"/>
        </w:rPr>
        <w:t xml:space="preserve"> МАТЕРИАЛОВ, РЕАГЕНТОВ И ИЗГОТОВЛЯЕМОЙ ПРОДУКЦИИ</w:t>
      </w:r>
      <w:bookmarkEnd w:id="35"/>
      <w:r>
        <w:rPr>
          <w:b/>
          <w:bCs/>
        </w:rPr>
      </w:r>
      <w:r>
        <w:rPr>
          <w:b/>
          <w:bCs/>
        </w:rPr>
      </w:r>
    </w:p>
    <w:p>
      <w:pPr>
        <w:pStyle w:val="2168"/>
        <w:ind w:firstLine="709"/>
        <w:spacing w:before="0" w:after="0" w:line="360" w:lineRule="auto"/>
        <w:rPr>
          <w:rStyle w:val="1940"/>
        </w:rPr>
      </w:pPr>
      <w:r/>
      <w:bookmarkStart w:id="43" w:name="_Toc13992413"/>
      <w:r>
        <w:rPr>
          <w:rStyle w:val="1940"/>
        </w:rPr>
        <w:t xml:space="preserve">2.1 </w:t>
      </w:r>
      <w:bookmarkStart w:id="44" w:name="_Toc527898033"/>
      <w:r>
        <w:rPr>
          <w:rStyle w:val="1940"/>
        </w:rPr>
        <w:t xml:space="preserve">Состав и свойства пластового газа, поступающего на УКПГ</w:t>
      </w:r>
      <w:bookmarkEnd w:id="43"/>
      <w:r/>
      <w:bookmarkEnd w:id="44"/>
      <w:r>
        <w:rPr>
          <w:rStyle w:val="1940"/>
        </w:rPr>
      </w:r>
      <w:r>
        <w:rPr>
          <w:rStyle w:val="1940"/>
        </w:rPr>
      </w:r>
    </w:p>
    <w:p>
      <w:pPr>
        <w:pStyle w:val="1999"/>
        <w:ind w:firstLine="709"/>
        <w:spacing w:before="0" w:after="0" w:line="360" w:lineRule="auto"/>
      </w:pPr>
      <w:r/>
      <w:bookmarkStart w:id="45" w:name="_Toc157502873"/>
      <w:r/>
      <w:bookmarkStart w:id="46" w:name="_Toc157503144"/>
      <w:r/>
      <w:bookmarkStart w:id="47" w:name="_Toc157503475"/>
      <w:r/>
      <w:bookmarkEnd w:id="45"/>
      <w:r/>
      <w:bookmarkEnd w:id="46"/>
      <w:r/>
      <w:bookmarkEnd w:id="47"/>
      <w:r>
        <w:t xml:space="preserve">Исходным сырьем является валанжинский газ. Характеристика природного газа, поступающего на УКПГ-, приведена в таблице 2.1.</w:t>
      </w:r>
      <w:r/>
    </w:p>
    <w:p>
      <w:pPr>
        <w:pStyle w:val="1889"/>
        <w:keepNext/>
        <w:spacing w:before="200" w:after="0"/>
        <w:rPr>
          <w:bCs/>
          <w:spacing w:val="10"/>
          <w:sz w:val="24"/>
        </w:rPr>
      </w:pPr>
      <w:r/>
      <w:bookmarkStart w:id="48" w:name="_Toc157503144_Копия_1"/>
      <w:r/>
      <w:bookmarkStart w:id="49" w:name="_Toc157502873_Копия_1"/>
      <w:r/>
      <w:bookmarkStart w:id="50" w:name="_Toc157503475_Копия_1"/>
      <w:r/>
      <w:bookmarkEnd w:id="48"/>
      <w:r/>
      <w:bookmarkEnd w:id="49"/>
      <w:r/>
      <w:bookmarkEnd w:id="50"/>
      <w:r>
        <w:rPr>
          <w:bCs/>
          <w:spacing w:val="10"/>
          <w:sz w:val="24"/>
        </w:rPr>
        <w:t xml:space="preserve">Таблица 2.1 – Характеристика природного газа, поступающего на УКПГ</w:t>
        <w:noBreakHyphen/>
      </w:r>
      <w:r>
        <w:rPr>
          <w:bCs/>
          <w:spacing w:val="10"/>
          <w:sz w:val="24"/>
        </w:rPr>
      </w:r>
      <w:r>
        <w:rPr>
          <w:bCs/>
          <w:spacing w:val="10"/>
          <w:sz w:val="24"/>
        </w:rPr>
      </w:r>
    </w:p>
    <w:p>
      <w:pPr>
        <w:sectPr>
          <w:headerReference w:type="default" r:id="rId10"/>
          <w:headerReference w:type="first" r:id="rId11"/>
          <w:footerReference w:type="default" r:id="rId41"/>
          <w:footerReference w:type="first" r:id="rId42"/>
          <w:footnotePr/>
          <w:endnotePr/>
          <w:type w:val="nextPage"/>
          <w:pgSz w:w="11906" w:h="16838" w:orient="portrait"/>
          <w:pgMar w:top="1134" w:right="851" w:bottom="1134" w:left="1701" w:header="720" w:footer="533" w:gutter="0"/>
          <w:cols w:num="1" w:sep="0" w:space="708" w:equalWidth="1"/>
          <w:docGrid w:linePitch="360"/>
        </w:sectPr>
      </w:pPr>
      <w:r/>
      <w:r/>
    </w:p>
    <w:tbl>
      <w:tblPr>
        <w:tblW w:w="5000" w:type="pct"/>
        <w:jc w:val="center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00" w:firstRow="0" w:lastRow="0" w:firstColumn="0" w:lastColumn="0" w:noHBand="0" w:noVBand="0"/>
      </w:tblPr>
      <w:tblGrid>
        <w:gridCol w:w="3442"/>
        <w:gridCol w:w="2826"/>
        <w:gridCol w:w="3086"/>
      </w:tblGrid>
      <w:tr>
        <w:tblPrEx/>
        <w:trPr>
          <w:trHeight w:val="454"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40" w:after="40" w:line="360" w:lineRule="auto"/>
              <w:rPr>
                <w:bCs/>
              </w:rPr>
            </w:pPr>
            <w:r>
              <w:rPr>
                <w:bCs/>
              </w:rPr>
              <w:t xml:space="preserve">Компонентный состав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91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40" w:after="40" w:line="360" w:lineRule="auto"/>
              <w:rPr>
                <w:bCs/>
              </w:rPr>
            </w:pPr>
            <w:r>
              <w:rPr>
                <w:bCs/>
              </w:rPr>
              <w:t xml:space="preserve">Начальный состав пластовой смеси, мол. %</w:t>
            </w:r>
            <w:r>
              <w:rPr>
                <w:bCs/>
              </w:rPr>
            </w:r>
            <w:r>
              <w:rPr>
                <w:bCs/>
              </w:rPr>
            </w:r>
          </w:p>
        </w:tc>
      </w:tr>
      <w:tr>
        <w:tblPrEx/>
        <w:trPr>
          <w:trHeight w:val="454"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40" w:after="40" w:line="360" w:lineRule="auto"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40" w:after="40" w:line="360" w:lineRule="auto"/>
              <w:rPr>
                <w:bCs/>
              </w:rPr>
            </w:pPr>
            <w:r>
              <w:rPr>
                <w:bCs/>
              </w:rPr>
              <w:t xml:space="preserve">БТ6-8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40" w:after="40" w:line="360" w:lineRule="auto"/>
              <w:rPr>
                <w:bCs/>
              </w:rPr>
            </w:pPr>
            <w:r>
              <w:rPr>
                <w:bCs/>
              </w:rPr>
              <w:t xml:space="preserve">БТ10</w:t>
            </w:r>
            <w:r>
              <w:rPr>
                <w:bCs/>
              </w:rPr>
            </w:r>
            <w:r>
              <w:rPr>
                <w:bCs/>
              </w:rPr>
            </w:r>
          </w:p>
        </w:tc>
      </w:tr>
      <w:tr>
        <w:tblPrEx/>
        <w:trPr>
          <w:trHeight w:val="454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Метан (СН</w:t>
            </w:r>
            <w:r>
              <w:rPr>
                <w:vertAlign w:val="subscript"/>
              </w:rPr>
              <w:t xml:space="preserve">4</w:t>
            </w:r>
            <w:r>
              <w:t xml:space="preserve">)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86.552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85.68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Этан (С</w:t>
            </w:r>
            <w:r>
              <w:rPr>
                <w:vertAlign w:val="subscript"/>
              </w:rPr>
              <w:t xml:space="preserve">2</w:t>
            </w:r>
            <w:r>
              <w:t xml:space="preserve">Н</w:t>
            </w:r>
            <w:r>
              <w:rPr>
                <w:vertAlign w:val="subscript"/>
              </w:rPr>
              <w:t xml:space="preserve">6</w:t>
            </w:r>
            <w:r>
              <w:t xml:space="preserve">)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4.944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6.27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  <w:rPr>
                <w:vertAlign w:val="subscript"/>
              </w:rPr>
            </w:pPr>
            <w:r>
              <w:t xml:space="preserve">Пропан (С</w:t>
            </w:r>
            <w:r>
              <w:rPr>
                <w:vertAlign w:val="subscript"/>
              </w:rPr>
              <w:t xml:space="preserve">3</w:t>
            </w:r>
            <w:r>
              <w:t xml:space="preserve">Н</w:t>
            </w:r>
            <w:r>
              <w:rPr>
                <w:vertAlign w:val="subscript"/>
              </w:rPr>
              <w:t xml:space="preserve">8</w:t>
            </w:r>
            <w:r>
              <w:t xml:space="preserve">)</w:t>
            </w:r>
            <w:r>
              <w:rPr>
                <w:vertAlign w:val="subscript"/>
              </w:rPr>
            </w:r>
            <w:r>
              <w:rPr>
                <w:vertAlign w:val="subscript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2.766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2.58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i-Бутан (С</w:t>
            </w:r>
            <w:r>
              <w:rPr>
                <w:vertAlign w:val="subscript"/>
              </w:rPr>
              <w:t xml:space="preserve">4</w:t>
            </w:r>
            <w:r>
              <w:t xml:space="preserve">Н</w:t>
            </w:r>
            <w:r>
              <w:rPr>
                <w:vertAlign w:val="subscript"/>
              </w:rPr>
              <w:t xml:space="preserve">10</w:t>
            </w:r>
            <w:r>
              <w:t xml:space="preserve">)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0.638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0.45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n-Бутан (С</w:t>
            </w:r>
            <w:r>
              <w:rPr>
                <w:vertAlign w:val="subscript"/>
              </w:rPr>
              <w:t xml:space="preserve">4</w:t>
            </w:r>
            <w:r>
              <w:t xml:space="preserve">Н</w:t>
            </w:r>
            <w:r>
              <w:rPr>
                <w:vertAlign w:val="subscript"/>
              </w:rPr>
              <w:t xml:space="preserve">10</w:t>
            </w:r>
            <w:r>
              <w:t xml:space="preserve">)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0.923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0.52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Двуокись углерода (СО</w:t>
            </w:r>
            <w:r>
              <w:rPr>
                <w:vertAlign w:val="subscript"/>
              </w:rPr>
              <w:t xml:space="preserve">2</w:t>
            </w:r>
            <w:r>
              <w:t xml:space="preserve">)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0.010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0.27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Азот (N</w:t>
            </w:r>
            <w:r>
              <w:rPr>
                <w:vertAlign w:val="subscript"/>
              </w:rPr>
              <w:t xml:space="preserve">2</w:t>
            </w:r>
            <w:r>
              <w:t xml:space="preserve">)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0.558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0.37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F</w:t>
            </w:r>
            <w:r>
              <w:rPr>
                <w:vertAlign w:val="subscript"/>
              </w:rPr>
              <w:t xml:space="preserve">1</w:t>
            </w:r>
            <w:r>
              <w:t xml:space="preserve"> ФP. 53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C (M= 80.0)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0.548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0.738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F</w:t>
            </w:r>
            <w:r>
              <w:rPr>
                <w:vertAlign w:val="subscript"/>
              </w:rPr>
              <w:t xml:space="preserve">2 </w:t>
            </w:r>
            <w:r>
              <w:t xml:space="preserve">ФP. 83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C (M= 92.0)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0.670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0.672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F</w:t>
            </w:r>
            <w:r>
              <w:rPr>
                <w:vertAlign w:val="subscript"/>
              </w:rPr>
              <w:t xml:space="preserve">3</w:t>
            </w:r>
            <w:r>
              <w:t xml:space="preserve"> ФP.108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C (M=103.0)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0.746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0.823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F</w:t>
            </w:r>
            <w:r>
              <w:rPr>
                <w:vertAlign w:val="subscript"/>
              </w:rPr>
              <w:t xml:space="preserve">4</w:t>
            </w:r>
            <w:r>
              <w:t xml:space="preserve"> ФP.133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C (M=116.0)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0.488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0.504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F</w:t>
            </w:r>
            <w:r>
              <w:rPr>
                <w:vertAlign w:val="subscript"/>
              </w:rPr>
              <w:t xml:space="preserve">5</w:t>
            </w:r>
            <w:r>
              <w:t xml:space="preserve"> ФP.158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C (M=131.0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0.371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0.377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F</w:t>
            </w:r>
            <w:r>
              <w:rPr>
                <w:vertAlign w:val="subscript"/>
              </w:rPr>
              <w:t xml:space="preserve">6</w:t>
            </w:r>
            <w:r>
              <w:t xml:space="preserve"> ФP.183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C (M=147.0)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0.245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0.184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F</w:t>
            </w:r>
            <w:r>
              <w:rPr>
                <w:vertAlign w:val="subscript"/>
              </w:rPr>
              <w:t xml:space="preserve">7</w:t>
            </w:r>
            <w:r>
              <w:t xml:space="preserve"> ФP.208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C (M=164.0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0.168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0.145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F</w:t>
            </w:r>
            <w:r>
              <w:rPr>
                <w:vertAlign w:val="subscript"/>
              </w:rPr>
              <w:t xml:space="preserve">8</w:t>
            </w:r>
            <w:r>
              <w:t xml:space="preserve"> ФP.233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C (M=183.0)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0.127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0.104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F</w:t>
            </w:r>
            <w:r>
              <w:rPr>
                <w:vertAlign w:val="subscript"/>
              </w:rPr>
              <w:t xml:space="preserve">9</w:t>
            </w:r>
            <w:r>
              <w:t xml:space="preserve"> ФP.258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C (M=203.0)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0.093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0.092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F</w:t>
            </w:r>
            <w:r>
              <w:rPr>
                <w:vertAlign w:val="subscript"/>
              </w:rPr>
              <w:t xml:space="preserve">10 </w:t>
            </w:r>
            <w:r>
              <w:t xml:space="preserve">ФP.283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C (M=224.0)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0.072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0.085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22" w:after="22" w:line="360" w:lineRule="auto"/>
            </w:pPr>
            <w:r>
              <w:t xml:space="preserve">F</w:t>
            </w:r>
            <w:r>
              <w:rPr>
                <w:vertAlign w:val="subscript"/>
              </w:rPr>
              <w:t xml:space="preserve">11</w:t>
            </w:r>
            <w:r>
              <w:t xml:space="preserve"> ФP.308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C (M=247.0)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0.043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22" w:after="22" w:line="360" w:lineRule="auto"/>
            </w:pPr>
            <w:r>
              <w:t xml:space="preserve">0.079</w:t>
            </w:r>
            <w:r/>
          </w:p>
        </w:tc>
      </w:tr>
      <w:tr>
        <w:tblPrEx/>
        <w:trPr>
          <w:trHeight w:val="454"/>
        </w:trPr>
        <w:tc>
          <w:tcPr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42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spacing w:before="30" w:after="20" w:line="360" w:lineRule="auto"/>
            </w:pPr>
            <w:r>
              <w:t xml:space="preserve">F</w:t>
            </w:r>
            <w:r>
              <w:rPr>
                <w:vertAlign w:val="subscript"/>
              </w:rPr>
              <w:t xml:space="preserve">12</w:t>
            </w:r>
            <w:r>
              <w:t xml:space="preserve"> ФP.360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C (M=300.0)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82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30" w:after="20" w:line="360" w:lineRule="auto"/>
            </w:pPr>
            <w:r>
              <w:t xml:space="preserve">0.038</w:t>
            </w:r>
            <w:r/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86" w:type="dxa"/>
            <w:vAlign w:val="center"/>
            <w:textDirection w:val="lrTb"/>
            <w:noWrap w:val="false"/>
          </w:tcPr>
          <w:p>
            <w:pPr>
              <w:pStyle w:val="1889"/>
              <w:ind w:firstLine="25"/>
              <w:jc w:val="center"/>
              <w:spacing w:before="30" w:after="20" w:line="360" w:lineRule="auto"/>
            </w:pPr>
            <w:r>
              <w:t xml:space="preserve">0.057</w:t>
            </w:r>
            <w:r/>
          </w:p>
        </w:tc>
      </w:tr>
    </w:tbl>
    <w:p>
      <w:pPr>
        <w:pStyle w:val="1889"/>
      </w:pPr>
      <w:r/>
      <w:r/>
    </w:p>
    <w:p>
      <w:pPr>
        <w:sectPr>
          <w:footnotePr/>
          <w:endnotePr/>
          <w:type w:val="continuous"/>
          <w:pgSz w:w="11906" w:h="16838" w:orient="portrait"/>
          <w:pgMar w:top="1134" w:right="851" w:bottom="1134" w:left="1701" w:header="720" w:footer="533" w:gutter="0"/>
          <w:cols w:num="1" w:sep="0" w:space="708" w:equalWidth="1"/>
          <w:docGrid w:linePitch="360"/>
        </w:sectPr>
      </w:pPr>
      <w:r/>
      <w:r/>
    </w:p>
    <w:p>
      <w:pPr>
        <w:pStyle w:val="2168"/>
        <w:ind w:firstLine="709"/>
        <w:spacing w:before="0" w:after="0" w:line="360" w:lineRule="auto"/>
        <w:rPr>
          <w:rStyle w:val="1940"/>
        </w:rPr>
      </w:pPr>
      <w:r>
        <w:rPr>
          <w:rStyle w:val="1940"/>
        </w:rPr>
        <w:t xml:space="preserve">2.2 Состав и свойства пластовых вод</w:t>
      </w:r>
      <w:r>
        <w:rPr>
          <w:rStyle w:val="1940"/>
        </w:rPr>
      </w:r>
      <w:r>
        <w:rPr>
          <w:rStyle w:val="1940"/>
        </w:rPr>
      </w:r>
    </w:p>
    <w:p>
      <w:pPr>
        <w:pStyle w:val="1889"/>
        <w:ind w:firstLine="709"/>
        <w:jc w:val="both"/>
        <w:spacing w:before="120" w:after="120" w:line="360" w:lineRule="auto"/>
        <w:rPr>
          <w:spacing w:val="-8"/>
          <w:sz w:val="24"/>
        </w:rPr>
      </w:pPr>
      <w:r>
        <w:rPr>
          <w:sz w:val="24"/>
        </w:rPr>
        <w:t xml:space="preserve">Состав</w:t>
      </w:r>
      <w:r>
        <w:rPr>
          <w:spacing w:val="-8"/>
          <w:sz w:val="24"/>
        </w:rPr>
        <w:t xml:space="preserve"> и минерализация пластовой воды по пластам приведены в таблице 2.2.</w:t>
      </w:r>
      <w:r>
        <w:rPr>
          <w:spacing w:val="-8"/>
          <w:sz w:val="24"/>
        </w:rPr>
      </w:r>
      <w:r>
        <w:rPr>
          <w:spacing w:val="-8"/>
          <w:sz w:val="24"/>
        </w:rPr>
      </w:r>
    </w:p>
    <w:p>
      <w:pPr>
        <w:pStyle w:val="1889"/>
        <w:jc w:val="both"/>
        <w:spacing w:before="120" w:after="120"/>
        <w:rPr>
          <w:spacing w:val="-8"/>
          <w:sz w:val="24"/>
        </w:rPr>
      </w:pPr>
      <w:r>
        <w:rPr>
          <w:spacing w:val="-8"/>
          <w:sz w:val="24"/>
        </w:rPr>
        <w:t xml:space="preserve">Таблица 2.2 – Состав и минерализация пластовой воды</w:t>
      </w:r>
      <w:r>
        <w:rPr>
          <w:spacing w:val="-8"/>
          <w:sz w:val="24"/>
        </w:rPr>
      </w:r>
      <w:r>
        <w:rPr>
          <w:spacing w:val="-8"/>
          <w:sz w:val="24"/>
        </w:rPr>
      </w:r>
    </w:p>
    <w:tbl>
      <w:tblPr>
        <w:tblW w:w="5000" w:type="pct"/>
        <w:jc w:val="center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3725"/>
        <w:gridCol w:w="2764"/>
        <w:gridCol w:w="3149"/>
      </w:tblGrid>
      <w:tr>
        <w:tblPrEx/>
        <w:trPr>
          <w:trHeight w:val="340"/>
        </w:trPr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25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  <w:rPr>
                <w:bCs/>
              </w:rPr>
            </w:pPr>
            <w:r>
              <w:rPr>
                <w:bCs/>
              </w:rPr>
              <w:t xml:space="preserve">Содержание ионов, мг/л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764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  <w:rPr>
                <w:bCs/>
              </w:rPr>
            </w:pPr>
            <w:r>
              <w:rPr>
                <w:bCs/>
              </w:rPr>
              <w:t xml:space="preserve">Пласт БТ</w:t>
            </w:r>
            <w:r>
              <w:rPr>
                <w:bCs/>
                <w:vertAlign w:val="subscript"/>
              </w:rPr>
              <w:t xml:space="preserve">6-8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49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  <w:rPr>
                <w:bCs/>
              </w:rPr>
            </w:pPr>
            <w:r>
              <w:rPr>
                <w:bCs/>
              </w:rPr>
              <w:t xml:space="preserve">Пласт БТ</w:t>
            </w:r>
            <w:r>
              <w:rPr>
                <w:bCs/>
                <w:vertAlign w:val="subscript"/>
              </w:rPr>
              <w:t xml:space="preserve">10</w:t>
            </w:r>
            <w:r>
              <w:rPr>
                <w:bCs/>
              </w:rPr>
            </w:r>
            <w:r>
              <w:rPr>
                <w:bCs/>
              </w:rPr>
            </w:r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25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Na</w:t>
            </w:r>
            <w:r>
              <w:rPr>
                <w:vertAlign w:val="superscript"/>
              </w:rPr>
              <w:t xml:space="preserve">+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764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54 ÷ 1908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149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494 ÷ 864</w:t>
            </w:r>
            <w:r/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725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K</w:t>
            </w:r>
            <w:r>
              <w:rPr>
                <w:vertAlign w:val="superscript"/>
              </w:rPr>
              <w:t xml:space="preserve">+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764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10 ÷ 27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14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/>
            <w:r/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725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Ca</w:t>
            </w:r>
            <w:r>
              <w:rPr>
                <w:vertAlign w:val="superscript"/>
              </w:rPr>
              <w:t xml:space="preserve">++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764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16 ÷ 649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149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16 ÷ 90</w:t>
            </w:r>
            <w:r/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725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Mg</w:t>
            </w:r>
            <w:r>
              <w:rPr>
                <w:vertAlign w:val="superscript"/>
              </w:rPr>
              <w:t xml:space="preserve">++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764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н/о ÷ 12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149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2 ÷ 11</w:t>
            </w:r>
            <w:r/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725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Cl</w:t>
            </w:r>
            <w:r>
              <w:rPr>
                <w:vertAlign w:val="superscript"/>
              </w:rPr>
              <w:t xml:space="preserve">-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764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709 ÷ 3456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149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468 ÷ 1106</w:t>
            </w:r>
            <w:r/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725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HCO</w:t>
            </w:r>
            <w:r>
              <w:rPr>
                <w:vertAlign w:val="subscript"/>
              </w:rPr>
              <w:t xml:space="preserve">3</w:t>
            </w:r>
            <w:r>
              <w:rPr>
                <w:vertAlign w:val="superscript"/>
              </w:rPr>
              <w:t xml:space="preserve">--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764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122 ÷ 756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149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255 ÷ 976</w:t>
            </w:r>
            <w:r/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725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SO</w:t>
            </w:r>
            <w:r>
              <w:rPr>
                <w:vertAlign w:val="subscript"/>
              </w:rPr>
              <w:t xml:space="preserve">4</w:t>
            </w:r>
            <w:r>
              <w:rPr>
                <w:vertAlign w:val="superscript"/>
              </w:rPr>
              <w:t xml:space="preserve">-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764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н/о ÷ 83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149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н/о ÷ 62</w:t>
            </w:r>
            <w:r/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725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CO</w:t>
            </w:r>
            <w:r>
              <w:rPr>
                <w:vertAlign w:val="subscript"/>
              </w:rPr>
              <w:t xml:space="preserve">3</w:t>
            </w:r>
            <w:r>
              <w:rPr>
                <w:vertAlign w:val="superscript"/>
              </w:rPr>
              <w:t xml:space="preserve">--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764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н/о÷ 36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149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н/о÷24</w:t>
            </w:r>
            <w:r/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725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NH</w:t>
            </w:r>
            <w:r>
              <w:rPr>
                <w:vertAlign w:val="subscript"/>
              </w:rPr>
              <w:t xml:space="preserve">4</w:t>
            </w:r>
            <w:r>
              <w:rPr>
                <w:vertAlign w:val="superscript"/>
              </w:rPr>
              <w:t xml:space="preserve">+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764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0.2÷ 6.0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149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н/о ÷ 3</w:t>
            </w:r>
            <w:r/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725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B</w:t>
            </w:r>
            <w:r>
              <w:rPr>
                <w:vertAlign w:val="superscript"/>
              </w:rPr>
              <w:t xml:space="preserve">-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764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0.84 ÷ 17.8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149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4.89 ÷ 13.2</w:t>
            </w:r>
            <w:r/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725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J</w:t>
            </w:r>
            <w:r>
              <w:rPr>
                <w:vertAlign w:val="superscript"/>
              </w:rPr>
              <w:t xml:space="preserve">-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764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1.69 ÷ 10.5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149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0.84 ÷ 4.22</w:t>
            </w:r>
            <w:r/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725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Br</w:t>
            </w:r>
            <w:r>
              <w:rPr>
                <w:vertAlign w:val="superscript"/>
              </w:rPr>
              <w:t xml:space="preserve">-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764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1.62÷ 17.63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149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1.6÷6.38</w:t>
            </w:r>
            <w:r/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25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Общая минерализация, г/л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764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1.35 ÷ 5.6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49" w:type="dxa"/>
            <w:vAlign w:val="center"/>
            <w:textDirection w:val="lrTb"/>
            <w:noWrap w:val="false"/>
          </w:tcPr>
          <w:p>
            <w:pPr>
              <w:pStyle w:val="1889"/>
              <w:ind w:left="24"/>
              <w:jc w:val="center"/>
              <w:spacing w:before="40" w:after="40" w:line="276" w:lineRule="auto"/>
            </w:pPr>
            <w:r>
              <w:t xml:space="preserve">1.5÷2.9</w:t>
            </w:r>
            <w:r/>
          </w:p>
        </w:tc>
      </w:tr>
    </w:tbl>
    <w:p>
      <w:pPr>
        <w:pStyle w:val="1889"/>
        <w:ind w:firstLine="709"/>
        <w:jc w:val="both"/>
        <w:spacing w:before="120" w:after="120" w:line="360" w:lineRule="auto"/>
        <w:rPr>
          <w:sz w:val="24"/>
        </w:rPr>
      </w:pPr>
      <w:r>
        <w:rPr>
          <w:sz w:val="24"/>
        </w:rPr>
        <w:t xml:space="preserve">При подготовке природного газа к транспорту получают следующие продукты:</w:t>
      </w:r>
      <w:r>
        <w:rPr>
          <w:sz w:val="24"/>
        </w:rPr>
      </w:r>
      <w:r>
        <w:rPr>
          <w:sz w:val="24"/>
        </w:rPr>
      </w:r>
    </w:p>
    <w:p>
      <w:pPr>
        <w:pStyle w:val="1889"/>
        <w:numPr>
          <w:ilvl w:val="0"/>
          <w:numId w:val="21"/>
        </w:numPr>
        <w:ind w:left="0" w:firstLine="709"/>
        <w:jc w:val="both"/>
        <w:spacing w:before="120" w:after="120" w:line="360" w:lineRule="auto"/>
        <w:rPr>
          <w:sz w:val="24"/>
        </w:rPr>
      </w:pPr>
      <w:r>
        <w:rPr>
          <w:sz w:val="24"/>
        </w:rPr>
        <w:t xml:space="preserve">газ горючий природный (товарный) по СТО Газпром 089-2010 “Газы горючие природные, поставляемые и транспортируемые по магистральным газопроводам”;</w:t>
      </w:r>
      <w:r>
        <w:rPr>
          <w:sz w:val="24"/>
        </w:rPr>
      </w:r>
      <w:r>
        <w:rPr>
          <w:sz w:val="24"/>
        </w:rPr>
      </w:r>
    </w:p>
    <w:p>
      <w:pPr>
        <w:pStyle w:val="1889"/>
        <w:numPr>
          <w:ilvl w:val="0"/>
          <w:numId w:val="21"/>
        </w:numPr>
        <w:ind w:left="0" w:firstLine="709"/>
        <w:jc w:val="both"/>
        <w:spacing w:before="120" w:after="120" w:line="360" w:lineRule="auto"/>
        <w:rPr>
          <w:sz w:val="24"/>
        </w:rPr>
      </w:pPr>
      <w:r>
        <w:rPr>
          <w:sz w:val="24"/>
        </w:rPr>
        <w:t xml:space="preserve">конденсат газовый нестабильный (товарный) по СТО Газпром 5.11-2008 “Конденсат газовый нестабильный”.</w:t>
      </w:r>
      <w:r>
        <w:rPr>
          <w:sz w:val="24"/>
        </w:rPr>
      </w:r>
      <w:r>
        <w:rPr>
          <w:sz w:val="24"/>
        </w:rPr>
      </w:r>
    </w:p>
    <w:p>
      <w:pPr>
        <w:pStyle w:val="1889"/>
        <w:ind w:firstLine="709"/>
        <w:jc w:val="both"/>
        <w:spacing w:before="120" w:after="120" w:line="360" w:lineRule="auto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1889"/>
        <w:ind w:firstLine="709"/>
        <w:jc w:val="both"/>
        <w:spacing w:before="120" w:after="120" w:line="360" w:lineRule="auto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1889"/>
        <w:ind w:firstLine="709"/>
        <w:jc w:val="both"/>
        <w:spacing w:before="120" w:after="120" w:line="360" w:lineRule="auto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1889"/>
        <w:ind w:firstLine="709"/>
        <w:jc w:val="both"/>
        <w:spacing w:before="120" w:after="120" w:line="360" w:lineRule="auto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1889"/>
        <w:ind w:firstLine="709"/>
        <w:jc w:val="both"/>
        <w:spacing w:before="120" w:after="120" w:line="360" w:lineRule="auto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1889"/>
        <w:ind w:firstLine="709"/>
        <w:jc w:val="both"/>
        <w:spacing w:before="120" w:after="120" w:line="360" w:lineRule="auto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1889"/>
        <w:ind w:firstLine="709"/>
        <w:jc w:val="both"/>
        <w:spacing w:before="120" w:after="120" w:line="360" w:lineRule="auto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2168"/>
        <w:ind w:firstLine="709"/>
        <w:spacing w:before="0" w:after="0" w:line="360" w:lineRule="auto"/>
        <w:rPr>
          <w:rStyle w:val="1940"/>
        </w:rPr>
      </w:pPr>
      <w:r/>
      <w:bookmarkStart w:id="51" w:name="_Toc29384776"/>
      <w:r>
        <w:rPr>
          <w:rStyle w:val="1940"/>
        </w:rPr>
        <w:t xml:space="preserve">2.3 Характеристика вспомогательных реагентов</w:t>
      </w:r>
      <w:bookmarkEnd w:id="51"/>
      <w:r>
        <w:rPr>
          <w:rStyle w:val="1940"/>
        </w:rPr>
      </w:r>
      <w:r>
        <w:rPr>
          <w:rStyle w:val="1940"/>
        </w:rPr>
      </w:r>
    </w:p>
    <w:p>
      <w:pPr>
        <w:pStyle w:val="1889"/>
        <w:ind w:firstLine="709"/>
        <w:jc w:val="both"/>
        <w:spacing w:before="120" w:after="120" w:line="360" w:lineRule="auto"/>
        <w:rPr>
          <w:sz w:val="24"/>
        </w:rPr>
      </w:pPr>
      <w:r>
        <w:rPr>
          <w:sz w:val="24"/>
        </w:rPr>
        <w:t xml:space="preserve">Характеристики вспомогательных реагентов приведены в таблице 2.3, где значения показателей указаны в соответствии с нормативными документами (НД).</w:t>
      </w:r>
      <w:r>
        <w:rPr>
          <w:sz w:val="24"/>
        </w:rPr>
      </w:r>
      <w:r>
        <w:rPr>
          <w:sz w:val="24"/>
        </w:rPr>
      </w:r>
    </w:p>
    <w:p>
      <w:pPr>
        <w:sectPr>
          <w:headerReference w:type="default" r:id="rId12"/>
          <w:headerReference w:type="first" r:id="rId13"/>
          <w:footerReference w:type="default" r:id="rId43"/>
          <w:footerReference w:type="first" r:id="rId44"/>
          <w:footnotePr/>
          <w:endnotePr/>
          <w:type w:val="nextPage"/>
          <w:pgSz w:w="11906" w:h="16838" w:orient="portrait"/>
          <w:pgMar w:top="851" w:right="1134" w:bottom="1701" w:left="1134" w:header="567" w:footer="567" w:gutter="0"/>
          <w:cols w:num="1" w:sep="0" w:space="708" w:equalWidth="1"/>
          <w:docGrid w:linePitch="360"/>
          <w:titlePg/>
        </w:sectPr>
      </w:pPr>
      <w:r/>
      <w:r/>
    </w:p>
    <w:tbl>
      <w:tblPr>
        <w:tblW w:w="10002" w:type="dxa"/>
        <w:tblInd w:w="-96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00" w:firstRow="0" w:lastRow="0" w:firstColumn="0" w:lastColumn="0" w:noHBand="0" w:noVBand="0"/>
      </w:tblPr>
      <w:tblGrid>
        <w:gridCol w:w="495"/>
        <w:gridCol w:w="1350"/>
        <w:gridCol w:w="899"/>
        <w:gridCol w:w="3406"/>
        <w:gridCol w:w="2174"/>
        <w:gridCol w:w="1677"/>
      </w:tblGrid>
      <w:tr>
        <w:tblPrEx/>
        <w:trPr>
          <w:cantSplit/>
          <w:trHeight w:val="20"/>
        </w:trPr>
        <w:tc>
          <w:tcPr>
            <w:gridSpan w:val="6"/>
            <w:shd w:val="clear" w:color="000000" w:fill="ffffff"/>
            <w:tcBorders>
              <w:bottom w:val="single" w:color="000000" w:sz="8" w:space="0"/>
            </w:tcBorders>
            <w:tcW w:w="10001" w:type="dxa"/>
            <w:vAlign w:val="center"/>
            <w:textDirection w:val="lrTb"/>
            <w:noWrap w:val="false"/>
          </w:tcPr>
          <w:p>
            <w:pPr>
              <w:pStyle w:val="2027"/>
              <w:jc w:val="both"/>
              <w:spacing w:before="120" w:after="120"/>
            </w:pPr>
            <w:r>
              <w:rPr>
                <w:sz w:val="24"/>
              </w:rPr>
              <w:t xml:space="preserve">Таблица 2.3 – Характеристика вспомогательных реагентов</w:t>
            </w:r>
            <w:r/>
          </w:p>
        </w:tc>
      </w:tr>
      <w:tr>
        <w:tblPrEx/>
        <w:trPr>
          <w:cantSplit/>
          <w:trHeight w:val="20"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№</w:t>
            </w:r>
            <w:r>
              <w:t xml:space="preserve">п/п</w:t>
            </w:r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Наименование продукции, вспомогательных реагентов</w:t>
            </w:r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Нормативный документ</w:t>
            </w:r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Показатели качества, обязательные для проверки</w:t>
            </w:r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Норма</w:t>
            </w:r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Применение</w:t>
            </w:r>
            <w:r/>
          </w:p>
          <w:p>
            <w:pPr>
              <w:pStyle w:val="1889"/>
              <w:jc w:val="center"/>
            </w:pPr>
            <w:r>
              <w:t xml:space="preserve">товарной продукции, вспомогательных реагентов</w:t>
            </w:r>
            <w:r/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1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both"/>
            </w:pPr>
            <w:r>
              <w:rPr>
                <w:color w:val="000000"/>
              </w:rPr>
              <w:t xml:space="preserve">Метанол технический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both"/>
            </w:pPr>
            <w:r>
              <w:rPr>
                <w:color w:val="000000"/>
              </w:rPr>
              <w:t xml:space="preserve">ГОСТ 2 222-95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1. Внешний вид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Бесцветная прозрачная жидкость без нерастворимых примесей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Применяется в качестве ингибитора гидратообразования</w:t>
            </w:r>
            <w:r/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2. Плотность при 20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С, г/см</w:t>
            </w:r>
            <w:r>
              <w:rPr>
                <w:vertAlign w:val="superscript"/>
              </w:rPr>
              <w:t xml:space="preserve">3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Не более 0.791</w:t>
            </w:r>
            <w:r>
              <w:rPr>
                <w:rFonts w:ascii="Symbol" w:hAnsi="Symbol" w:eastAsia="Symbol" w:cs="Symbol"/>
              </w:rPr>
              <w:t xml:space="preserve">¸</w:t>
            </w:r>
            <w:r>
              <w:t xml:space="preserve">0.792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3. Смешиваемость с водой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Смешивается с водой без следов помутнения и опалесценции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4. Температурные пределы: а) предел кипения, °С</w:t>
              <w:br/>
              <w:t xml:space="preserve">б) 99% продукта перегоняется в пределах, не более С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64.0 </w:t>
            </w:r>
            <w:r>
              <w:rPr>
                <w:rFonts w:ascii="Symbol" w:hAnsi="Symbol" w:eastAsia="Symbol" w:cs="Symbol"/>
              </w:rPr>
              <w:t xml:space="preserve">¸</w:t>
            </w:r>
            <w:r>
              <w:t xml:space="preserve"> 65.5</w:t>
            </w:r>
            <w:r/>
          </w:p>
          <w:p>
            <w:pPr>
              <w:pStyle w:val="1889"/>
              <w:jc w:val="center"/>
            </w:pPr>
            <w:r>
              <w:t xml:space="preserve">1.0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5. Массовая доля воды, не более, %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0.08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6. Массовая доля свободных кислот в пересчёте на муравьиную кислоту, не более %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0.0015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7. Массовая доля альдегидов и кетонов в пересчёте на ацетон, не более, %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0.008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8. Массовая доля летучих соединений железа в пересчёте на железо, не более %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0.0005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9. Испытание с перманганатом калия, не менее, мин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30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10. Массовая доля хлора, не более, %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0.001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11. Массовая доля серы, не более, %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0.001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12. Массовая доля нелетучего остатка после испарения, не более, %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0.002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</w:pPr>
            <w:r/>
            <w:r/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Азот газообразный технический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ГОСТ 9293-74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1. Объёмная доля азота, %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95.0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Используется для продувки трубопроводов</w:t>
            </w:r>
            <w:r/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2. Объёмная доля кислорода, %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1.0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3. Объёмная доля водяного пара, %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Выдерживает испытания по п.3.6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>
          <w:cantSplit/>
          <w:trHeight w:val="20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9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50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9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06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4. Точка росы,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both"/>
            </w:pPr>
            <w:r>
              <w:t xml:space="preserve">Минус 70 ± 5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7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both"/>
              <w:rPr>
                <w:szCs w:val="24"/>
              </w:rPr>
            </w:pPr>
            <w:r>
              <w:rPr>
                <w:szCs w:val="24"/>
              </w:rPr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</w:tbl>
    <w:p>
      <w:pPr>
        <w:pStyle w:val="1889"/>
      </w:pPr>
      <w:r/>
      <w:r/>
    </w:p>
    <w:p>
      <w:pPr>
        <w:sectPr>
          <w:footnotePr/>
          <w:endnotePr/>
          <w:type w:val="continuous"/>
          <w:pgSz w:w="11906" w:h="16838" w:orient="portrait"/>
          <w:pgMar w:top="851" w:right="1134" w:bottom="1701" w:left="1134" w:header="567" w:footer="567" w:gutter="0"/>
          <w:cols w:num="1" w:sep="0" w:space="708" w:equalWidth="1"/>
          <w:docGrid w:linePitch="360"/>
          <w:titlePg/>
        </w:sectPr>
      </w:pPr>
      <w:r/>
      <w:r/>
    </w:p>
    <w:p>
      <w:pPr>
        <w:pStyle w:val="2168"/>
        <w:ind w:firstLine="709"/>
        <w:spacing w:before="0" w:after="0" w:line="360" w:lineRule="auto"/>
        <w:rPr>
          <w:b/>
          <w:bCs/>
        </w:rPr>
      </w:pPr>
      <w:r/>
      <w:bookmarkStart w:id="52" w:name="_Toc184786779"/>
      <w:r/>
      <w:bookmarkStart w:id="53" w:name="_Toc476974904"/>
      <w:r/>
      <w:bookmarkStart w:id="54" w:name="_Toc385183513"/>
      <w:r/>
      <w:bookmarkStart w:id="55" w:name="_Toc13992417"/>
      <w:r/>
      <w:bookmarkStart w:id="56" w:name="_Toc385183410"/>
      <w:r/>
      <w:bookmarkStart w:id="57" w:name="_Toc184800430"/>
      <w:r/>
      <w:bookmarkStart w:id="58" w:name="_Toc477947070"/>
      <w:r/>
      <w:bookmarkStart w:id="59" w:name="_Toc184786953"/>
      <w:r/>
      <w:bookmarkStart w:id="60" w:name="_Toc184727290"/>
      <w:r/>
      <w:bookmarkStart w:id="61" w:name="_Toc385183273"/>
      <w:r/>
      <w:bookmarkStart w:id="62" w:name="_Toc385427483"/>
      <w:r/>
      <w:bookmarkStart w:id="63" w:name="_Toc385517745"/>
      <w:r/>
      <w:bookmarkStart w:id="64" w:name="_Toc389464416"/>
      <w:r>
        <w:rPr>
          <w:rStyle w:val="1940"/>
        </w:rPr>
        <w:t xml:space="preserve">3 </w:t>
      </w:r>
      <w:bookmarkEnd w:id="52"/>
      <w:r/>
      <w:bookmarkEnd w:id="53"/>
      <w:r/>
      <w:bookmarkEnd w:id="54"/>
      <w:r/>
      <w:bookmarkEnd w:id="55"/>
      <w:r/>
      <w:bookmarkEnd w:id="56"/>
      <w:r/>
      <w:bookmarkEnd w:id="57"/>
      <w:r/>
      <w:bookmarkEnd w:id="58"/>
      <w:r/>
      <w:bookmarkEnd w:id="59"/>
      <w:r/>
      <w:bookmarkEnd w:id="60"/>
      <w:r/>
      <w:bookmarkEnd w:id="61"/>
      <w:r/>
      <w:bookmarkEnd w:id="62"/>
      <w:r/>
      <w:bookmarkEnd w:id="63"/>
      <w:r/>
      <w:bookmarkEnd w:id="64"/>
      <w:r>
        <w:rPr>
          <w:b/>
          <w:bCs/>
        </w:rPr>
        <w:t xml:space="preserve">ОПИСАНИЕ ТЕХНОЛОГИЧЕСКОГО ПРОЦЕССА И ТЕХНОЛОГИЧЕСКОЙ СХЕМЫ ПРОИЗВОДСТВЕННОГО ОБЪЕКТА</w:t>
      </w:r>
      <w:r>
        <w:rPr>
          <w:b/>
          <w:bCs/>
        </w:rPr>
      </w:r>
      <w:r>
        <w:rPr>
          <w:b/>
          <w:bCs/>
        </w:rPr>
      </w:r>
    </w:p>
    <w:p>
      <w:pPr>
        <w:pStyle w:val="2168"/>
        <w:ind w:firstLine="709"/>
        <w:spacing w:before="0" w:after="0" w:line="360" w:lineRule="auto"/>
        <w:rPr>
          <w:b/>
          <w:bCs/>
        </w:rPr>
      </w:pPr>
      <w:r>
        <w:rPr>
          <w:b/>
          <w:bCs/>
        </w:rPr>
        <w:t xml:space="preserve">3.1 Фонд скважин Газового промысла №  месторождения</w:t>
      </w:r>
      <w:r>
        <w:rPr>
          <w:b/>
          <w:bCs/>
        </w:rPr>
      </w:r>
      <w:r>
        <w:rPr>
          <w:b/>
          <w:bCs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6"/>
        </w:rPr>
      </w:pPr>
      <w:r>
        <w:rPr>
          <w:sz w:val="24"/>
          <w:szCs w:val="26"/>
        </w:rPr>
        <w:t xml:space="preserve">Под технологическим режимом эксплуатации скважин понимается рабо</w:t>
      </w:r>
      <w:r>
        <w:rPr>
          <w:sz w:val="24"/>
          <w:szCs w:val="26"/>
        </w:rPr>
        <w:t xml:space="preserve">та скважины по определённым значениям расхода газа и давления на устье, осуществляемых путем их регулирования с учётом геолого-технологических ограничений и обеспечивающих соблюдение правил охраны недр, окружающей среды и безаварийную эксплуатацию скважин.</w:t>
      </w:r>
      <w:r>
        <w:rPr>
          <w:sz w:val="24"/>
          <w:szCs w:val="26"/>
        </w:rPr>
      </w:r>
      <w:r>
        <w:rPr>
          <w:sz w:val="24"/>
          <w:szCs w:val="26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6"/>
        </w:rPr>
      </w:pPr>
      <w:r>
        <w:rPr>
          <w:sz w:val="24"/>
          <w:szCs w:val="26"/>
        </w:rPr>
        <w:t xml:space="preserve">Основными характеристиками технологического режима работы скважин на месторождениях являются:</w:t>
      </w:r>
      <w:r>
        <w:rPr>
          <w:sz w:val="24"/>
          <w:szCs w:val="26"/>
        </w:rPr>
      </w:r>
      <w:r>
        <w:rPr>
          <w:sz w:val="24"/>
          <w:szCs w:val="26"/>
        </w:rPr>
      </w:r>
    </w:p>
    <w:p>
      <w:pPr>
        <w:pStyle w:val="1889"/>
        <w:numPr>
          <w:ilvl w:val="0"/>
          <w:numId w:val="12"/>
        </w:numPr>
        <w:ind w:left="0" w:firstLine="709"/>
        <w:jc w:val="both"/>
        <w:spacing w:line="360" w:lineRule="auto"/>
        <w:tabs>
          <w:tab w:val="left" w:pos="708" w:leader="none"/>
          <w:tab w:val="clear" w:pos="709" w:leader="none"/>
        </w:tabs>
        <w:rPr>
          <w:sz w:val="24"/>
        </w:rPr>
      </w:pPr>
      <w:r>
        <w:rPr>
          <w:sz w:val="24"/>
        </w:rPr>
        <w:t xml:space="preserve">минимально необходимый дебит скважин – дебит газа, ниже которого не обеспечивается вынос всей жидкости на устье и происходит скопление жидкости в стволе скважины; </w:t>
      </w:r>
      <w:r>
        <w:rPr>
          <w:sz w:val="24"/>
        </w:rPr>
      </w:r>
      <w:r>
        <w:rPr>
          <w:sz w:val="24"/>
        </w:rPr>
      </w:r>
    </w:p>
    <w:p>
      <w:pPr>
        <w:pStyle w:val="1889"/>
        <w:numPr>
          <w:ilvl w:val="0"/>
          <w:numId w:val="12"/>
        </w:numPr>
        <w:ind w:left="0" w:firstLine="709"/>
        <w:jc w:val="both"/>
        <w:spacing w:line="360" w:lineRule="auto"/>
        <w:tabs>
          <w:tab w:val="left" w:pos="708" w:leader="none"/>
          <w:tab w:val="clear" w:pos="709" w:leader="none"/>
        </w:tabs>
        <w:rPr>
          <w:sz w:val="24"/>
        </w:rPr>
      </w:pPr>
      <w:r>
        <w:rPr>
          <w:sz w:val="24"/>
        </w:rPr>
        <w:t xml:space="preserve">оптимальный дебит скважины – это расход газа, при котором обеспечивается прогнозируемая и безопасная работа скважины с дебитом выше минимально-необходимого, с </w:t>
      </w:r>
      <w:r>
        <w:rPr>
          <w:sz w:val="24"/>
        </w:rPr>
        <w:t xml:space="preserve">учётом ожидаемого давления в сети сбора газа при условии выполнения геолого-технологических (технологических) ограничений по данной скважине. Оптимальный дебит скважины характеризует величину среднего за квартал рабочего дебита скважины в газосборную сеть;</w:t>
      </w:r>
      <w:r>
        <w:rPr>
          <w:sz w:val="24"/>
        </w:rPr>
      </w:r>
      <w:r>
        <w:rPr>
          <w:sz w:val="24"/>
        </w:rPr>
      </w:r>
    </w:p>
    <w:p>
      <w:pPr>
        <w:pStyle w:val="1889"/>
        <w:numPr>
          <w:ilvl w:val="0"/>
          <w:numId w:val="12"/>
        </w:numPr>
        <w:ind w:left="0" w:firstLine="709"/>
        <w:jc w:val="both"/>
        <w:spacing w:line="360" w:lineRule="auto"/>
        <w:tabs>
          <w:tab w:val="left" w:pos="708" w:leader="none"/>
          <w:tab w:val="clear" w:pos="709" w:leader="none"/>
        </w:tabs>
        <w:rPr>
          <w:sz w:val="24"/>
        </w:rPr>
      </w:pPr>
      <w:r>
        <w:rPr>
          <w:sz w:val="24"/>
        </w:rPr>
        <w:t xml:space="preserve">допустимый дебит скважины – это расход газа, при котором может быть обеспечена прогнозируемая и безопасная работа скважины при условии выполнения геолого-технологических (технологических) ограничений по данной скважине.</w:t>
      </w:r>
      <w:r>
        <w:rPr>
          <w:sz w:val="24"/>
        </w:rPr>
      </w:r>
      <w:r>
        <w:rPr>
          <w:sz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</w:rPr>
      </w:pPr>
      <w:r>
        <w:rPr>
          <w:sz w:val="24"/>
        </w:rPr>
        <w:t xml:space="preserve">Допустимый дебит скважины характеризует потенциальные возможности скважины, полученные при проведении газодинамического исследования скважины. </w:t>
      </w:r>
      <w:r>
        <w:rPr>
          <w:sz w:val="24"/>
        </w:rPr>
      </w:r>
      <w:r>
        <w:rPr>
          <w:sz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</w:rPr>
      </w:pPr>
      <w:r>
        <w:rPr>
          <w:sz w:val="24"/>
        </w:rPr>
        <w:t xml:space="preserve">Для оценки допустимого дебита скважины в практических расчётах принимается дебит газа, при </w:t>
      </w:r>
      <w:r>
        <w:rPr>
          <w:sz w:val="24"/>
        </w:rPr>
        <w:t xml:space="preserve">котором содержание механических примесей в потоке не превышает максимально допустимых норм, разработанных для безопасной эксплуатации газопроводов и при условии не превышения максимально допустимой депрессии на пласт, величина которой зависит от стадии раз</w:t>
      </w:r>
      <w:r>
        <w:rPr>
          <w:sz w:val="24"/>
        </w:rPr>
        <w:t xml:space="preserve">работки месторождения, наличия жидкости на забое скважин и степени обводнения участка пласта. Необходимо отметить, что максимально допустимый дебит должен обеспечивать минимально необходимую скорость потока газа для выноса жидкости с забоя на поверхность. </w:t>
      </w:r>
      <w:r>
        <w:rPr>
          <w:sz w:val="24"/>
        </w:rPr>
      </w:r>
      <w:r>
        <w:rPr>
          <w:sz w:val="24"/>
        </w:rPr>
      </w:r>
    </w:p>
    <w:p>
      <w:pPr>
        <w:pStyle w:val="1889"/>
        <w:ind w:firstLine="709"/>
        <w:jc w:val="both"/>
        <w:spacing w:line="360" w:lineRule="auto"/>
        <w:rPr>
          <w:color w:val="000000"/>
          <w:sz w:val="24"/>
        </w:rPr>
      </w:pPr>
      <w:r>
        <w:rPr>
          <w:sz w:val="24"/>
        </w:rPr>
        <w:t xml:space="preserve">Работа скважины на оптимальном режиме обеспечивается за счёт регулирования расхода газа. Ограничения по расходу газа вы</w:t>
      </w:r>
      <w:r>
        <w:rPr>
          <w:sz w:val="24"/>
        </w:rPr>
        <w:t xml:space="preserve">званы геолого-технологическими ограничениями: максимально возможная депрессия на пласт, высокая скорость потока, либо значительное содержание механических примесей и жидкости в продукции, наличием признаков подошвенных вод в жидкости, выносимой из скважин.</w:t>
      </w:r>
      <w:r>
        <w:rPr>
          <w:color w:val="000000"/>
          <w:sz w:val="24"/>
        </w:rPr>
      </w:r>
      <w:r>
        <w:rPr>
          <w:color w:val="000000"/>
          <w:sz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Добыча газа осуществляется через эксплуатационные скважины, которые группи</w:t>
      </w:r>
      <w:r>
        <w:rPr>
          <w:sz w:val="24"/>
          <w:szCs w:val="24"/>
        </w:rPr>
        <w:t xml:space="preserve">руются в кусты. Основными факторами, определяющими конструкцию эксплуатационных скважин валанжинской залежи месторождения, являются: обеспечение надежности скважин при их сооружении и последующей эксплуатации и получение требуемого отбора газа.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Основными стадиями технологического процесса являются: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– </w:t>
      </w:r>
      <w:r>
        <w:rPr>
          <w:sz w:val="24"/>
          <w:szCs w:val="24"/>
        </w:rPr>
        <w:t xml:space="preserve">поступление природного газа в ствол скважины;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– </w:t>
      </w:r>
      <w:r>
        <w:rPr>
          <w:sz w:val="24"/>
          <w:szCs w:val="24"/>
        </w:rPr>
        <w:t xml:space="preserve">предупреждение гидратообразования;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– </w:t>
      </w:r>
      <w:r>
        <w:rPr>
          <w:sz w:val="24"/>
          <w:szCs w:val="24"/>
        </w:rPr>
        <w:t xml:space="preserve">продувка скважины на факел;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– </w:t>
      </w:r>
      <w:r>
        <w:rPr>
          <w:sz w:val="24"/>
          <w:szCs w:val="24"/>
        </w:rPr>
        <w:t xml:space="preserve">исследования скважин.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Способ транспортирования добываемой пластовой смеси от забоя к устью скважины – фонтанный, так как газ характеризуется малыми величинами плотности и вязкости даже в пластовых условиях.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Процесс добычи газа заключается в создании депрессии на забое скважины, направлении потока газ</w:t>
      </w:r>
      <w:r>
        <w:rPr>
          <w:sz w:val="24"/>
          <w:szCs w:val="24"/>
        </w:rPr>
        <w:t xml:space="preserve">а через обвязку устья скважины и далее по системе промысловых трубопроводов ГП № в сооружения участка комплексной подготовки газа ГП-. При этом происходит снижение давления на устье и в скважине создается перепад между забойным и устьевым давлениями (∆</w:t>
      </w:r>
      <w:r>
        <w:rPr>
          <w:i/>
          <w:sz w:val="24"/>
          <w:szCs w:val="24"/>
          <w:lang w:val="en-US"/>
        </w:rPr>
        <w:t xml:space="preserve">p</w:t>
      </w:r>
      <w:r>
        <w:rPr>
          <w:sz w:val="24"/>
          <w:szCs w:val="24"/>
        </w:rPr>
        <w:t xml:space="preserve">2</w:t>
      </w:r>
      <w:r>
        <w:rPr>
          <w:sz w:val="24"/>
          <w:szCs w:val="24"/>
          <w:lang w:val="en-US"/>
        </w:rPr>
        <w:t xml:space="preserve"> </w:t>
      </w:r>
      <w:r>
        <w:rPr>
          <w:sz w:val="24"/>
          <w:szCs w:val="24"/>
        </w:rPr>
        <w:t xml:space="preserve">=</w:t>
      </w:r>
      <w:r>
        <w:rPr>
          <w:sz w:val="24"/>
          <w:szCs w:val="24"/>
          <w:lang w:val="en-US"/>
        </w:rPr>
        <w:t xml:space="preserve"> </w:t>
      </w:r>
      <w:r>
        <w:rPr>
          <w:i/>
          <w:sz w:val="24"/>
          <w:szCs w:val="24"/>
          <w:lang w:val="en-US"/>
        </w:rPr>
        <w:t xml:space="preserve">p</w:t>
      </w:r>
      <w:r>
        <w:rPr>
          <w:sz w:val="24"/>
          <w:szCs w:val="24"/>
        </w:rPr>
        <w:t xml:space="preserve">з</w:t>
      </w:r>
      <w:r>
        <w:rPr>
          <w:sz w:val="24"/>
          <w:szCs w:val="24"/>
          <w:lang w:val="en-US"/>
        </w:rPr>
        <w:t xml:space="preserve"> </w:t>
      </w:r>
      <w:r>
        <w:rPr>
          <w:sz w:val="24"/>
          <w:szCs w:val="24"/>
        </w:rPr>
        <w:t xml:space="preserve">–</w:t>
      </w:r>
      <w:r>
        <w:rPr>
          <w:sz w:val="24"/>
          <w:szCs w:val="24"/>
          <w:lang w:val="en-US"/>
        </w:rPr>
        <w:t xml:space="preserve"> </w:t>
      </w:r>
      <w:r>
        <w:rPr>
          <w:i/>
          <w:sz w:val="24"/>
          <w:szCs w:val="24"/>
          <w:lang w:val="en-US"/>
        </w:rPr>
        <w:t xml:space="preserve">p</w:t>
      </w:r>
      <w:r>
        <w:rPr>
          <w:sz w:val="24"/>
          <w:szCs w:val="24"/>
        </w:rPr>
        <w:t xml:space="preserve">у). Под действием этого перепада ∆</w:t>
      </w:r>
      <w:r>
        <w:rPr>
          <w:i/>
          <w:sz w:val="24"/>
          <w:szCs w:val="24"/>
          <w:lang w:val="en-US"/>
        </w:rPr>
        <w:t xml:space="preserve">p</w:t>
      </w:r>
      <w:r>
        <w:rPr>
          <w:sz w:val="24"/>
          <w:szCs w:val="24"/>
        </w:rPr>
        <w:t xml:space="preserve">2 </w:t>
      </w:r>
      <w:r>
        <w:rPr>
          <w:sz w:val="24"/>
          <w:szCs w:val="24"/>
        </w:rPr>
        <w:t xml:space="preserve">в стволе скважины осуществляется движение потока газа в вертикальном направлении. Во время движения газа в стволе скважины от забоя до устья потенциальная энергия сжатого в пласте газа переходит в кинетическую энергию движущегося потока. Давление на забое </w:t>
      </w:r>
      <w:r>
        <w:rPr>
          <w:i/>
          <w:sz w:val="24"/>
          <w:szCs w:val="24"/>
          <w:lang w:val="en-US"/>
        </w:rPr>
        <w:t xml:space="preserve">p</w:t>
      </w:r>
      <w:r>
        <w:rPr>
          <w:sz w:val="24"/>
          <w:szCs w:val="24"/>
        </w:rPr>
        <w:t xml:space="preserve">з становится ниже, чем в пласте</w:t>
      </w:r>
      <w:r>
        <w:rPr>
          <w:i/>
          <w:sz w:val="24"/>
          <w:szCs w:val="24"/>
        </w:rPr>
        <w:t xml:space="preserve"> </w:t>
      </w:r>
      <w:r>
        <w:rPr>
          <w:i/>
          <w:sz w:val="24"/>
          <w:szCs w:val="24"/>
          <w:lang w:val="en-US"/>
        </w:rPr>
        <w:t xml:space="preserve">p</w:t>
      </w:r>
      <w:r>
        <w:rPr>
          <w:sz w:val="24"/>
          <w:szCs w:val="24"/>
        </w:rPr>
        <w:t xml:space="preserve">пл. Создается перепад между пластовым и забойным давлениями (депрессия на пласт) (∆</w:t>
      </w:r>
      <w:r>
        <w:rPr>
          <w:i/>
          <w:sz w:val="24"/>
          <w:szCs w:val="24"/>
          <w:lang w:val="en-US"/>
        </w:rPr>
        <w:t xml:space="preserve">p</w:t>
      </w:r>
      <w:r>
        <w:rPr>
          <w:sz w:val="24"/>
          <w:szCs w:val="24"/>
        </w:rPr>
        <w:t xml:space="preserve">1</w:t>
      </w:r>
      <w:r>
        <w:rPr>
          <w:sz w:val="24"/>
          <w:szCs w:val="24"/>
          <w:lang w:val="en-US"/>
        </w:rPr>
        <w:t xml:space="preserve"> </w:t>
      </w:r>
      <w:r>
        <w:rPr>
          <w:sz w:val="24"/>
          <w:szCs w:val="24"/>
        </w:rPr>
        <w:t xml:space="preserve">=</w:t>
      </w:r>
      <w:r>
        <w:rPr>
          <w:sz w:val="24"/>
          <w:szCs w:val="24"/>
          <w:lang w:val="en-US"/>
        </w:rPr>
        <w:t xml:space="preserve"> </w:t>
      </w:r>
      <w:r>
        <w:rPr>
          <w:i/>
          <w:sz w:val="24"/>
          <w:szCs w:val="24"/>
          <w:lang w:val="en-US"/>
        </w:rPr>
        <w:t xml:space="preserve">p</w:t>
      </w:r>
      <w:r>
        <w:rPr>
          <w:sz w:val="24"/>
          <w:szCs w:val="24"/>
        </w:rPr>
        <w:t xml:space="preserve">пл</w:t>
      </w:r>
      <w:r>
        <w:rPr>
          <w:sz w:val="24"/>
          <w:szCs w:val="24"/>
          <w:lang w:val="en-US"/>
        </w:rPr>
        <w:t xml:space="preserve"> </w:t>
      </w:r>
      <w:r>
        <w:rPr>
          <w:sz w:val="24"/>
          <w:szCs w:val="24"/>
        </w:rPr>
        <w:t xml:space="preserve">–</w:t>
      </w:r>
      <w:r>
        <w:rPr>
          <w:sz w:val="24"/>
          <w:szCs w:val="24"/>
          <w:lang w:val="en-US"/>
        </w:rPr>
        <w:t xml:space="preserve"> </w:t>
      </w:r>
      <w:r>
        <w:rPr>
          <w:i/>
          <w:sz w:val="24"/>
          <w:szCs w:val="24"/>
          <w:lang w:val="en-US"/>
        </w:rPr>
        <w:t xml:space="preserve">p</w:t>
      </w:r>
      <w:r>
        <w:rPr>
          <w:sz w:val="24"/>
          <w:szCs w:val="24"/>
        </w:rPr>
        <w:t xml:space="preserve">з). Под действием депрессии ∆</w:t>
      </w:r>
      <w:r>
        <w:rPr>
          <w:i/>
          <w:sz w:val="24"/>
          <w:szCs w:val="24"/>
          <w:lang w:val="en-US"/>
        </w:rPr>
        <w:t xml:space="preserve">p</w:t>
      </w:r>
      <w:r>
        <w:rPr>
          <w:sz w:val="24"/>
          <w:szCs w:val="24"/>
        </w:rPr>
        <w:t xml:space="preserve">1 газ из пласта поступает на забой скважины. В пласте происходит фильтрация газа и истощение области дренирования (дренажа) скважины, т. е. области, на которую распространяется падение давления вокруг скважины (воронка депрессии). Температура в пласте</w:t>
      </w:r>
      <w:r>
        <w:rPr>
          <w:sz w:val="24"/>
          <w:szCs w:val="24"/>
        </w:rPr>
        <w:t xml:space="preserve"> за счет притока теплоты из недр Земли остается практически постоянной (процесс изотермический) за исключением некоторого снижения в призабойной зоне скважины. Затраты энергии на преодоление фильтрационного сопротивления пласта приводят к потерям давления.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В ство</w:t>
      </w:r>
      <w:r>
        <w:rPr>
          <w:sz w:val="24"/>
          <w:szCs w:val="24"/>
        </w:rPr>
        <w:t xml:space="preserve">ле скважины на пути от забоя до устья в результате затрат энергии на движение газа снижаются давление и температура. Объемные скорости потока газа в пласте и в стволе скважины по пути движения увеличиваются вследствие расширения газа при снижении давления.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Утвержденные технологические режимы работы с</w:t>
      </w:r>
      <w:r>
        <w:rPr>
          <w:sz w:val="24"/>
          <w:szCs w:val="24"/>
        </w:rPr>
        <w:t xml:space="preserve">кважин разрабатываются и корректируются управлением геологии, разработки и лицензирования месторождений  ежеквартально на основании результатов комплексных исследований скважин. Этот документ является руководящим при регулировании отбора газа по скважинам.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/>
      <w:bookmarkStart w:id="65" w:name="_Toc476974905"/>
      <w:r/>
      <w:bookmarkStart w:id="66" w:name="_Toc477947071"/>
      <w:r/>
      <w:bookmarkEnd w:id="65"/>
      <w:r/>
      <w:bookmarkEnd w:id="66"/>
      <w:r>
        <w:rPr>
          <w:sz w:val="24"/>
          <w:szCs w:val="24"/>
        </w:rPr>
        <w:t xml:space="preserve">Скважины УКПГ- сгруппированы в 10 кустов по 5÷7 шт.  эксплуатационных скважин. Общее количество скважин – 61.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Эксплуатационные скважины предназначены для добычи газа и газового конденсата валанжинской залежи, подъема его на поверхность по стволу скважин к устью, подачи через отвод фонтанной арматуры по манифольду в газосборный коллектор.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b/>
          <w:sz w:val="24"/>
          <w:szCs w:val="24"/>
        </w:rPr>
      </w:pPr>
      <w:r>
        <w:rPr>
          <w:sz w:val="24"/>
          <w:szCs w:val="24"/>
        </w:rPr>
        <w:t xml:space="preserve">Разведочные скважины используются для обнаружения насыщенных ценными ископаемыми пластов, а также разведки на предмет состава, перспективности разработки и оценки промышленного значения месторождений.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Распределение скважин ГП- месторождение представлено в таблице 1.2.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1889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Таблица 1.2 – Распределение скважин ГП-.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9362" w:type="dxa"/>
        <w:jc w:val="center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547"/>
        <w:gridCol w:w="4364"/>
        <w:gridCol w:w="2451"/>
      </w:tblGrid>
      <w:tr>
        <w:tblPrEx/>
        <w:trPr>
          <w:trHeight w:val="543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47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№ </w:t>
            </w:r>
            <w:r>
              <w:t xml:space="preserve">куста скважин</w:t>
            </w:r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6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№№ </w:t>
            </w:r>
            <w:r>
              <w:t xml:space="preserve">скважин</w:t>
            </w:r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5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Год ввода в эксплуатацию</w:t>
            </w:r>
            <w:r/>
          </w:p>
        </w:tc>
      </w:tr>
      <w:tr>
        <w:tblPrEx/>
        <w:trPr>
          <w:trHeight w:val="387"/>
        </w:trPr>
        <w:tc>
          <w:tcPr>
            <w:gridSpan w:val="3"/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6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Эксплуатационные скважины</w:t>
            </w:r>
            <w:r/>
          </w:p>
        </w:tc>
      </w:tr>
      <w:tr>
        <w:tblPrEx/>
        <w:trPr>
          <w:trHeight w:val="203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547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1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436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20101, 20102, 20103, 20104, 20105, 20106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45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2010</w:t>
            </w:r>
            <w:r/>
          </w:p>
        </w:tc>
      </w:tr>
      <w:tr>
        <w:tblPrEx/>
        <w:trPr>
          <w:trHeight w:val="20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547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436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20201, 20202, 20203, 20204, 20205, 20206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451" w:type="dxa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2010</w:t>
            </w:r>
            <w:r/>
          </w:p>
        </w:tc>
      </w:tr>
      <w:tr>
        <w:tblPrEx/>
        <w:trPr>
          <w:trHeight w:val="20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547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3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436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20301, 20302, 20303, 20304, 20305, 20306, 20307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451" w:type="dxa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2010</w:t>
            </w:r>
            <w:r/>
          </w:p>
        </w:tc>
      </w:tr>
      <w:tr>
        <w:tblPrEx/>
        <w:trPr>
          <w:trHeight w:val="20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547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4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436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20401, 20402, 20403, 20404, 20405, 20406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451" w:type="dxa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2010</w:t>
            </w:r>
            <w:r/>
          </w:p>
        </w:tc>
      </w:tr>
      <w:tr>
        <w:tblPrEx/>
        <w:trPr>
          <w:trHeight w:val="20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547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5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436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20501, 20502, 20503, 20504, 20505, 20506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451" w:type="dxa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2010</w:t>
            </w:r>
            <w:r/>
          </w:p>
        </w:tc>
      </w:tr>
      <w:tr>
        <w:tblPrEx/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547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436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20601, 20602, 20603, 20604, 20605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451" w:type="dxa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2010</w:t>
            </w:r>
            <w:r/>
          </w:p>
        </w:tc>
      </w:tr>
      <w:tr>
        <w:tblPrEx/>
        <w:trPr>
          <w:trHeight w:val="22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547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7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436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20701, 20702, 20703, 20704, 20705, 20706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451" w:type="dxa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2010</w:t>
            </w:r>
            <w:r/>
          </w:p>
        </w:tc>
      </w:tr>
      <w:tr>
        <w:tblPrEx/>
        <w:trPr>
          <w:trHeight w:val="223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547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8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436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20801, 20802, 20803, 20804, 20805, 20806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451" w:type="dxa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2010</w:t>
            </w:r>
            <w:r/>
          </w:p>
        </w:tc>
      </w:tr>
      <w:tr>
        <w:tblPrEx/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547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9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436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20901, 20902, 20903, 20904, 20905, 20906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451" w:type="dxa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2010</w:t>
            </w:r>
            <w:r/>
          </w:p>
        </w:tc>
      </w:tr>
      <w:tr>
        <w:tblPrEx/>
        <w:trPr>
          <w:trHeight w:val="239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47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10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36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21001, 21002, 21003, 21004, 21005, 21006, 21007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451" w:type="dxa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2010</w:t>
            </w:r>
            <w:r/>
          </w:p>
        </w:tc>
      </w:tr>
    </w:tbl>
    <w:p>
      <w:pPr>
        <w:pStyle w:val="1889"/>
        <w:jc w:val="both"/>
        <w:widowControl w:val="off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2171"/>
        <w:ind w:left="0" w:firstLine="709"/>
        <w:jc w:val="both"/>
        <w:spacing w:line="360" w:lineRule="auto"/>
        <w:tabs>
          <w:tab w:val="left" w:pos="567" w:leader="none"/>
          <w:tab w:val="clear" w:pos="709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При эксплуатации сырой газ от устья, через отвод фонтанной арматуры скважин, по манифольду поступает в газосборный коллектор и да</w:t>
      </w:r>
      <w:r>
        <w:rPr>
          <w:b w:val="0"/>
          <w:sz w:val="24"/>
          <w:szCs w:val="24"/>
        </w:rPr>
        <w:t xml:space="preserve">лее транспортируется по газопроводу-шлейфу на УКПГ. На линиях от фонтанной арматуры до ГСК последовательно установлены: замерное устройство, регулирующий клапан, устройство отсекающее, отключающее скважину при порыве шлейфа и задвижка шиберная Ду100, Ру25.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Оборудование забоя предназначено для предотвращения разрушения продуктивного пласта и выноса на забой твердых частиц, а также для изоляции обводнившихся пропластков.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Кондуктор - обсадная колонна, спускаемая в скважину для перекрытия неустойчивых четвертичных и многолетнемерзлых пород с обязательной установкой башмака конду</w:t>
      </w:r>
      <w:r>
        <w:rPr>
          <w:sz w:val="24"/>
          <w:szCs w:val="24"/>
        </w:rPr>
        <w:t xml:space="preserve">ктора в плотные глины тибейсалинской свиты и установки на устье скважины противовыбросового оборудования с целью предотвращения аварийных флюидопроявлений из сеноманских отложений. Промежуточная (техническая) колонна – обсадная колонна, спускаемая в скважи</w:t>
      </w:r>
      <w:r>
        <w:rPr>
          <w:sz w:val="24"/>
          <w:szCs w:val="24"/>
        </w:rPr>
        <w:t xml:space="preserve">ну с целью перекрытия газоносного сеноманского горизонта и оборудования устья скважины ПВО. Эксплуатационная колонна - обсадная колонна, установленная в скважине для разобщения несовместимых по условиям буримости пластов и извлечения флюидов из продуктивно</w:t>
      </w:r>
      <w:r>
        <w:rPr>
          <w:sz w:val="24"/>
          <w:szCs w:val="24"/>
        </w:rPr>
        <w:t xml:space="preserve">го пласта или для нагнетания в пласты жидкости или газа. Лифтовая (фонтанная) колонна - колонна насосно-компрессорных труб в скважине, служащая для подъема газа на поверхность и предохранения эксплуатационной колонны от коррозии и термобарических нагрузок.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2171"/>
        <w:ind w:left="0" w:firstLine="709"/>
        <w:jc w:val="both"/>
        <w:spacing w:line="360" w:lineRule="auto"/>
        <w:tabs>
          <w:tab w:val="left" w:pos="567" w:leader="none"/>
          <w:tab w:val="clear" w:pos="709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Конструкция субгоризонтальных скважин на КГС 1-10 следующая: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pStyle w:val="2171"/>
        <w:ind w:left="0" w:firstLine="709"/>
        <w:jc w:val="both"/>
        <w:spacing w:line="360" w:lineRule="auto"/>
        <w:tabs>
          <w:tab w:val="left" w:pos="567" w:leader="none"/>
          <w:tab w:val="clear" w:pos="709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• </w:t>
      </w:r>
      <w:r>
        <w:rPr>
          <w:b w:val="0"/>
          <w:sz w:val="24"/>
          <w:szCs w:val="24"/>
        </w:rPr>
        <w:t xml:space="preserve">кондуктор диаметром 324 мм, до проектной глубины (около 550 м);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pStyle w:val="2171"/>
        <w:ind w:left="0" w:firstLine="709"/>
        <w:jc w:val="both"/>
        <w:spacing w:line="360" w:lineRule="auto"/>
        <w:tabs>
          <w:tab w:val="left" w:pos="567" w:leader="none"/>
          <w:tab w:val="clear" w:pos="709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• </w:t>
      </w:r>
      <w:r>
        <w:rPr>
          <w:b w:val="0"/>
          <w:sz w:val="24"/>
          <w:szCs w:val="24"/>
        </w:rPr>
        <w:t xml:space="preserve">промежуточная (техническая) колонна диаметром 245 мм, до проектной глубины (около 1400 м);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pStyle w:val="2171"/>
        <w:ind w:left="0" w:firstLine="709"/>
        <w:jc w:val="both"/>
        <w:spacing w:line="360" w:lineRule="auto"/>
        <w:tabs>
          <w:tab w:val="left" w:pos="567" w:leader="none"/>
          <w:tab w:val="clear" w:pos="709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• </w:t>
      </w:r>
      <w:r>
        <w:rPr>
          <w:b w:val="0"/>
          <w:sz w:val="24"/>
          <w:szCs w:val="24"/>
        </w:rPr>
        <w:t xml:space="preserve">эксплуатационная колонна диметром 168 мм до проектной глубины;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pStyle w:val="2171"/>
        <w:ind w:left="0" w:firstLine="709"/>
        <w:jc w:val="both"/>
        <w:spacing w:line="360" w:lineRule="auto"/>
        <w:tabs>
          <w:tab w:val="left" w:pos="567" w:leader="none"/>
          <w:tab w:val="clear" w:pos="709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• </w:t>
      </w:r>
      <w:r>
        <w:rPr>
          <w:b w:val="0"/>
          <w:sz w:val="24"/>
          <w:szCs w:val="24"/>
        </w:rPr>
        <w:t xml:space="preserve">лифтовая колонна (НКТ) диметром 89 мм.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pStyle w:val="2171"/>
        <w:ind w:left="0" w:firstLine="709"/>
        <w:jc w:val="both"/>
        <w:spacing w:line="360" w:lineRule="auto"/>
        <w:tabs>
          <w:tab w:val="left" w:pos="567" w:leader="none"/>
          <w:tab w:val="clear" w:pos="709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• </w:t>
      </w:r>
      <w:r>
        <w:rPr>
          <w:b w:val="0"/>
          <w:sz w:val="24"/>
          <w:szCs w:val="24"/>
        </w:rPr>
        <w:t xml:space="preserve">фильтр-хвостовик (щелевой фильтр типа ФС114.24НГ) диаметром 114 мм.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pStyle w:val="2171"/>
        <w:ind w:left="0" w:firstLine="709"/>
        <w:jc w:val="both"/>
        <w:spacing w:line="360" w:lineRule="auto"/>
        <w:tabs>
          <w:tab w:val="left" w:pos="567" w:leader="none"/>
          <w:tab w:val="clear" w:pos="709" w:leader="none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Регулирование отбора газа по скважинам осуществляется на основе "Технологических режимов работы газовых скважин", которые ежеквартально корректируются.</w:t>
      </w:r>
      <w:r>
        <w:rPr>
          <w:b w:val="0"/>
          <w:sz w:val="24"/>
          <w:szCs w:val="24"/>
        </w:rPr>
      </w:r>
      <w:r>
        <w:rPr>
          <w:b w:val="0"/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 наземному оборудованию скважин относится оборудование</w:t>
      </w:r>
      <w:r>
        <w:rPr>
          <w:sz w:val="24"/>
          <w:szCs w:val="24"/>
        </w:rPr>
        <w:t xml:space="preserve"> устья. Оборудование устья состоит из колонной головки и арматуры фонтанной, состоящей в свою очередь из трубной головки и фонтанной елки. Устья эксплуатационных скважин размещаются на единой кустовой площадке в линию на расстоянии 40 метров друг от друга.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Колонная головка предназначена для соединения верхних концов кондуктора и эксплуатационной (обсадной) трубы, герметизации межтрубных пространств и служит опорой для арматуры фонтанной.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Трубная головка предназначена для обвязки лифтовых труб, герметизации межтрубного пространства между эксплуатационной колонной и лифтовыми трубами, проведения технологических операций при освоении, эксплуатации и ремонте скважин.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Фонтанная елка предназ</w:t>
      </w:r>
      <w:r>
        <w:rPr>
          <w:sz w:val="24"/>
          <w:szCs w:val="24"/>
        </w:rPr>
        <w:t xml:space="preserve">начена для управления и регулирования газожидкостного потока из скважины, установки приспособлений для спуска/подъема глубинных приборов, манометров технических и термометров (ртутных или биметаллических показывающих), измеряющих параметры потока на устье.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Для об</w:t>
      </w:r>
      <w:r>
        <w:rPr>
          <w:sz w:val="24"/>
          <w:szCs w:val="24"/>
        </w:rPr>
        <w:t xml:space="preserve">орудования устья скважин используются колонные головки: ОКК2-35-168х245х324 К1 УХЛ завода Нефтегаздеталь, ОКК2-35-168х245х324 К1 ХЛ Воронежского механического завода, ОКК2-35-168х245х324 К1 ХЛ1 Зеленодольского завода имени А.М. Горького; Фонтанные арматуры</w:t>
      </w:r>
      <w:r>
        <w:rPr>
          <w:b/>
          <w:sz w:val="24"/>
          <w:szCs w:val="24"/>
        </w:rPr>
        <w:t xml:space="preserve">: </w:t>
      </w:r>
      <w:r>
        <w:rPr>
          <w:bCs/>
          <w:sz w:val="24"/>
          <w:szCs w:val="24"/>
        </w:rPr>
        <w:t xml:space="preserve">АФ6-80/65х35 К1 УХЛ </w:t>
      </w:r>
      <w:r>
        <w:rPr>
          <w:sz w:val="24"/>
          <w:szCs w:val="24"/>
        </w:rPr>
        <w:t xml:space="preserve">завода Нефтегаздеталь, </w:t>
      </w:r>
      <w:r>
        <w:rPr>
          <w:bCs/>
          <w:sz w:val="24"/>
          <w:szCs w:val="24"/>
        </w:rPr>
        <w:t xml:space="preserve">АФ6-80/65х35 К1 ХЛ</w:t>
      </w:r>
      <w:r>
        <w:rPr>
          <w:sz w:val="24"/>
          <w:szCs w:val="24"/>
        </w:rPr>
        <w:t xml:space="preserve"> Воронежского механического завода, </w:t>
      </w:r>
      <w:r>
        <w:rPr>
          <w:bCs/>
          <w:sz w:val="24"/>
          <w:szCs w:val="24"/>
        </w:rPr>
        <w:t xml:space="preserve">АФ6-80/65х35 К1 ХЛ1 </w:t>
      </w:r>
      <w:r>
        <w:rPr>
          <w:sz w:val="24"/>
          <w:szCs w:val="24"/>
        </w:rPr>
        <w:t xml:space="preserve">Зеленодольского завода имени А.М. Горького.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999"/>
        <w:ind w:firstLine="709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Для регулирования расхода газа газовой скважины на один из отводов манифольда</w:t>
      </w:r>
      <w:r>
        <w:rPr>
          <w:color w:val="000000"/>
          <w:vertAlign w:val="superscript"/>
        </w:rPr>
        <w:t xml:space="preserve">1</w:t>
      </w:r>
      <w:r>
        <w:rPr>
          <w:color w:val="000000"/>
        </w:rPr>
        <w:t xml:space="preserve"> устанавливается</w:t>
      </w:r>
      <w:r>
        <w:t xml:space="preserve"> клапан регулирующий </w:t>
      </w:r>
      <w:r>
        <w:rPr>
          <w:lang w:val="en-US"/>
        </w:rPr>
        <w:t xml:space="preserve">c</w:t>
      </w:r>
      <w:r>
        <w:t xml:space="preserve"> электрическим приводом «Вымпел» РК-01 (РУД-02)</w:t>
      </w:r>
      <w:r>
        <w:rPr>
          <w:color w:val="000000"/>
          <w:vertAlign w:val="superscript"/>
        </w:rPr>
        <w:t xml:space="preserve">1</w:t>
      </w:r>
      <w:r>
        <w:t xml:space="preserve"> (на скв. №№20201, 20202, 20206), клапан регулирующий «ЛГ автоматика» с электроприводом «</w:t>
      </w:r>
      <w:r>
        <w:rPr>
          <w:lang w:val="en-US"/>
        </w:rPr>
        <w:t xml:space="preserve">AUMA</w:t>
      </w:r>
      <w:r>
        <w:t xml:space="preserve">»</w:t>
      </w:r>
      <w:r>
        <w:rPr>
          <w:color w:val="000000"/>
          <w:vertAlign w:val="superscript"/>
        </w:rPr>
        <w:t xml:space="preserve">1</w:t>
      </w:r>
      <w:r>
        <w:t xml:space="preserve"> (на скв. №№20203, 20204, 20205), клапан регулирующий с электрическим приводом MOKVELD</w:t>
      </w:r>
      <w:r>
        <w:rPr>
          <w:color w:val="000000"/>
          <w:vertAlign w:val="superscript"/>
        </w:rPr>
        <w:t xml:space="preserve">1</w:t>
      </w:r>
      <w:r>
        <w:t xml:space="preserve"> (все остальные скважины).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ind w:firstLine="709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Один из отводов манифольда и один из отводов трубной головки оборудованы задавочными линиями</w:t>
      </w:r>
      <w:r>
        <w:rPr>
          <w:color w:val="000000"/>
          <w:vertAlign w:val="superscript"/>
        </w:rPr>
        <w:t xml:space="preserve">1</w:t>
      </w:r>
      <w:r>
        <w:rPr>
          <w:color w:val="000000"/>
        </w:rPr>
        <w:t xml:space="preserve">, на которых установлены задвижки с ручным приводом</w:t>
      </w:r>
      <w:r>
        <w:rPr>
          <w:color w:val="000000"/>
          <w:vertAlign w:val="superscript"/>
        </w:rPr>
        <w:t xml:space="preserve">1</w:t>
      </w:r>
      <w:r>
        <w:rPr>
          <w:color w:val="000000"/>
        </w:rPr>
        <w:t xml:space="preserve">. Задавоч</w:t>
      </w:r>
      <w:r>
        <w:rPr>
          <w:color w:val="000000"/>
        </w:rPr>
        <w:t xml:space="preserve">ные линии заканчиваются быстроразъёмными соединениями для присоединения к ним нагнетательных линий передвижных насосных агрегатов при выполнении технологических операций или при глушении скважин. В обвязке скважины предусмотрено устройство отсекающее К-302</w:t>
      </w:r>
      <w:r>
        <w:rPr>
          <w:color w:val="000000"/>
          <w:vertAlign w:val="superscript"/>
        </w:rPr>
        <w:t xml:space="preserve">1</w:t>
      </w:r>
      <w:r>
        <w:rPr>
          <w:color w:val="000000"/>
        </w:rPr>
        <w:t xml:space="preserve">, осуществляющее остановку скважины при критическом падении давления в манифольде скважины. 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ind w:firstLine="709"/>
        <w:spacing w:before="0" w:after="0" w:line="360" w:lineRule="auto"/>
        <w:rPr>
          <w:color w:val="000000"/>
          <w:highlight w:val="none"/>
        </w:rPr>
      </w:pPr>
      <w:r>
        <w:rPr>
          <w:color w:val="000000"/>
        </w:rPr>
        <w:t xml:space="preserve">Глушение скважины производится через задавочные линии, выведенные в сторону от скважины на 20 метров. Продувка скважин КГС №1-10 осуществляется через горизонтальную факельную установку куста</w:t>
      </w:r>
      <w:r>
        <w:rPr>
          <w:color w:val="000000"/>
          <w:vertAlign w:val="superscript"/>
        </w:rPr>
        <w:t xml:space="preserve">1</w:t>
      </w:r>
      <w:r>
        <w:rPr>
          <w:color w:val="000000"/>
        </w:rPr>
        <w:t xml:space="preserve">.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1999"/>
        <w:ind w:firstLine="709"/>
        <w:spacing w:before="0" w:after="0" w:line="360" w:lineRule="auto"/>
        <w:rPr>
          <w:highlight w:val="none"/>
        </w:rPr>
      </w:pPr>
      <w:r>
        <w:rPr>
          <w:color w:val="000000"/>
        </w:rPr>
        <w:t xml:space="preserve">Профили субгоризонтальных скважин на нижнемеловые отложения</w:t>
      </w:r>
      <w:r>
        <w:t xml:space="preserve"> (пласты БТ </w:t>
      </w:r>
      <w:r>
        <w:rPr>
          <w:vertAlign w:val="subscript"/>
        </w:rPr>
        <w:t xml:space="preserve">10</w:t>
      </w:r>
      <w:r>
        <w:t xml:space="preserve">, БТ </w:t>
      </w:r>
      <w:r>
        <w:rPr>
          <w:vertAlign w:val="subscript"/>
        </w:rPr>
        <w:t xml:space="preserve">6-8</w:t>
      </w:r>
      <w:r>
        <w:t xml:space="preserve">,) представлены на рисунках 3.1, 3.2 соответственно. </w:t>
      </w:r>
      <w:r>
        <w:rPr>
          <w:highlight w:val="none"/>
        </w:rPr>
      </w:r>
      <w:r>
        <w:rPr>
          <w:highlight w:val="none"/>
        </w:rPr>
      </w:r>
    </w:p>
    <w:p>
      <w:pPr>
        <w:pStyle w:val="1999"/>
        <w:ind w:firstLine="709"/>
        <w:spacing w:before="0" w:after="0" w:line="360" w:lineRule="auto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889"/>
        <w:ind w:left="0" w:right="0" w:firstLine="709"/>
        <w:jc w:val="both"/>
        <w:spacing w:before="0" w:after="0" w:line="57" w:lineRule="atLeast"/>
      </w:pPr>
      <w:r>
        <w:rPr>
          <w:b w:val="0"/>
          <w:bCs/>
          <w:vertAlign w:val="superscript"/>
        </w:rPr>
        <w:t xml:space="preserve">1 </w:t>
      </w:r>
      <w:r>
        <w:rPr>
          <w:b w:val="0"/>
          <w:bCs/>
          <w:position w:val="0"/>
          <w:sz w:val="20"/>
          <w:vertAlign w:val="baseline"/>
        </w:rPr>
        <w:t xml:space="preserve">Указанное наземное оборудование входит в состав </w:t>
      </w:r>
      <w:r>
        <w:rPr>
          <w:b w:val="0"/>
          <w:bCs w:val="0"/>
          <w:position w:val="0"/>
          <w:sz w:val="20"/>
          <w:vertAlign w:val="baseline"/>
        </w:rPr>
        <w:t xml:space="preserve">ОПО «Система промысловых трубопроводов Газового промысла №   месторождения» № А59-50040-0161</w:t>
      </w:r>
      <w:r/>
    </w:p>
    <w:p>
      <w:pPr>
        <w:pStyle w:val="1999"/>
        <w:ind w:firstLine="709"/>
        <w:spacing w:before="0" w:after="0" w:line="360" w:lineRule="auto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jc w:val="center"/>
        <w:spacing w:before="0" w:after="0" w:line="360" w:lineRule="auto"/>
        <w:rPr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2195" cy="7184390"/>
                <wp:effectExtent l="0" t="0" r="0" b="0"/>
                <wp:docPr id="1" name="Рисунок 10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10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2">
                          <a:extLst>
                            <a:ext uri="{96DAC541-7B7A-43D3-8B79-37D633B846F1}">
                              <asvg:svgBlip xmlns:asvg="http://schemas.microsoft.com/office/drawing/2016/SVG/main" r:embed="rId73"/>
                            </a:ext>
                          </a:extLst>
                        </a:blip>
                        <a:srcRect l="2352" t="0" r="0" b="3840"/>
                        <a:stretch/>
                      </pic:blipFill>
                      <pic:spPr bwMode="auto">
                        <a:xfrm>
                          <a:off x="0" y="0"/>
                          <a:ext cx="4862195" cy="71843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82.85pt;height:565.70pt;mso-wrap-distance-left:0.00pt;mso-wrap-distance-top:0.00pt;mso-wrap-distance-right:0.00pt;mso-wrap-distance-bottom:0.00pt;" stroked="false">
                <v:path textboxrect="0,0,0,0"/>
                <v:imagedata r:id="rId72" o:title=""/>
              </v:shape>
            </w:pict>
          </mc:Fallback>
        </mc:AlternateConten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jc w:val="center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Рисунок 3.1 – Профиль скважины с отходом на кровлю пласта БТ</w:t>
      </w:r>
      <w:r>
        <w:rPr>
          <w:color w:val="000000"/>
          <w:vertAlign w:val="subscript"/>
        </w:rPr>
        <w:t xml:space="preserve">10</w:t>
      </w:r>
      <w:r>
        <w:rPr>
          <w:color w:val="000000"/>
        </w:rPr>
        <w:t xml:space="preserve"> -1900 м.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jc w:val="center"/>
        <w:spacing w:before="0" w:after="0" w:line="360" w:lineRule="auto"/>
        <w:rPr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38700" cy="7067550"/>
                <wp:effectExtent l="0" t="0" r="0" b="0"/>
                <wp:docPr id="2" name="Рисунок 1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12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4">
                          <a:extLst>
                            <a:ext uri="{96DAC541-7B7A-43D3-8B79-37D633B846F1}">
                              <asvg:svgBlip xmlns:asvg="http://schemas.microsoft.com/office/drawing/2016/SVG/main" r:embed="rId75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4838700" cy="7067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81.00pt;height:556.50pt;mso-wrap-distance-left:0.00pt;mso-wrap-distance-top:0.00pt;mso-wrap-distance-right:0.00pt;mso-wrap-distance-bottom:0.00pt;" stroked="false">
                <v:path textboxrect="0,0,0,0"/>
                <v:imagedata r:id="rId74" o:title=""/>
              </v:shape>
            </w:pict>
          </mc:Fallback>
        </mc:AlternateConten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jc w:val="center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Рисунок 3.2 – Профиль скважины с отходом на кровлю пласта БТ</w:t>
      </w:r>
      <w:r>
        <w:rPr>
          <w:color w:val="000000"/>
          <w:vertAlign w:val="subscript"/>
        </w:rPr>
        <w:t xml:space="preserve">6-8</w:t>
      </w:r>
      <w:r>
        <w:rPr>
          <w:color w:val="000000"/>
        </w:rPr>
        <w:t xml:space="preserve"> -1350 м.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jc w:val="center"/>
        <w:spacing w:before="0" w:after="0" w:line="360" w:lineRule="auto"/>
        <w:rPr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9600" cy="6447155"/>
                <wp:effectExtent l="0" t="0" r="0" b="0"/>
                <wp:docPr id="3" name="Рисунок 1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13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5689600" cy="644715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48.00pt;height:507.65pt;mso-wrap-distance-left:0.00pt;mso-wrap-distance-top:0.00pt;mso-wrap-distance-right:0.00pt;mso-wrap-distance-bottom:0.00pt;" stroked="false">
                <v:path textboxrect="0,0,0,0"/>
                <v:imagedata r:id="rId76" o:title=""/>
              </v:shape>
            </w:pict>
          </mc:Fallback>
        </mc:AlternateConten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jc w:val="center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Рисунок 3.3 – Арматура фонтанная АФ6-80/65х35 К1 ХЛ Воронежского механического завода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jc w:val="center"/>
        <w:spacing w:before="0" w:after="0" w:line="360" w:lineRule="auto"/>
        <w:rPr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47715" cy="4122420"/>
                <wp:effectExtent l="0" t="0" r="0" b="0"/>
                <wp:docPr id="4" name="Рисунок 1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Рисунок 14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5847715" cy="41224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0.45pt;height:324.60pt;mso-wrap-distance-left:0.00pt;mso-wrap-distance-top:0.00pt;mso-wrap-distance-right:0.00pt;mso-wrap-distance-bottom:0.00pt;" stroked="false">
                <v:path textboxrect="0,0,0,0"/>
                <v:imagedata r:id="rId77" o:title=""/>
              </v:shape>
            </w:pict>
          </mc:Fallback>
        </mc:AlternateConten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ind w:firstLine="709"/>
        <w:jc w:val="center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Рисунок 3.4 – Обвязка колонная ОКК2-35-168х245х324 К1 ХЛ Воронежского 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ind w:firstLine="709"/>
        <w:jc w:val="center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механического завода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jc w:val="center"/>
        <w:spacing w:before="0" w:after="0" w:line="360" w:lineRule="auto"/>
        <w:rPr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27090" cy="6819265"/>
                <wp:effectExtent l="0" t="0" r="0" b="0"/>
                <wp:docPr id="5" name="Рисунок 1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Рисунок 15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5927090" cy="68192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6.70pt;height:536.95pt;mso-wrap-distance-left:0.00pt;mso-wrap-distance-top:0.00pt;mso-wrap-distance-right:0.00pt;mso-wrap-distance-bottom:0.00pt;" stroked="false">
                <v:path textboxrect="0,0,0,0"/>
                <v:imagedata r:id="rId78" o:title=""/>
              </v:shape>
            </w:pict>
          </mc:Fallback>
        </mc:AlternateConten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jc w:val="center"/>
        <w:spacing w:before="0" w:after="0" w:line="360" w:lineRule="auto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jc w:val="center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Рисунок 3.5 – Арматура фонтанная АФ6-80/65х35 К1 ХЛ Зеленодольского завода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jc w:val="center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им. А. М. Горького (на скважинах №№ 20102, 20305, 20601, 20701, 20804)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jc w:val="center"/>
        <w:spacing w:before="0" w:after="0" w:line="360" w:lineRule="auto"/>
        <w:rPr>
          <w:color w:val="00000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30570" cy="3790950"/>
                <wp:effectExtent l="0" t="0" r="0" b="0"/>
                <wp:docPr id="6" name="Рисунок 1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Рисунок 16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5830570" cy="379094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59.10pt;height:298.50pt;mso-wrap-distance-left:0.00pt;mso-wrap-distance-top:0.00pt;mso-wrap-distance-right:0.00pt;mso-wrap-distance-bottom:0.00pt;" stroked="false">
                <v:path textboxrect="0,0,0,0"/>
                <v:imagedata r:id="rId79" o:title=""/>
              </v:shape>
            </w:pict>
          </mc:Fallback>
        </mc:AlternateConten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jc w:val="center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Рисунок 3.6 – Обвязка колонная ОКК2-35-168х245х324 К1 ХЛ Зеленодольского завода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jc w:val="center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им. А. М. Горького (на скважинах №№ 20102, 20305, 20601, 20701, 20804)</w:t>
      </w:r>
      <w:r>
        <w:rPr>
          <w:color w:val="000000"/>
        </w:rPr>
      </w:r>
      <w:r>
        <w:rPr>
          <w:color w:val="000000"/>
        </w:rPr>
      </w:r>
    </w:p>
    <w:p>
      <w:pPr>
        <w:sectPr>
          <w:headerReference w:type="default" r:id="rId14"/>
          <w:headerReference w:type="first" r:id="rId15"/>
          <w:footerReference w:type="default" r:id="rId45"/>
          <w:footerReference w:type="first" r:id="rId46"/>
          <w:footnotePr/>
          <w:endnotePr/>
          <w:type w:val="nextPage"/>
          <w:pgSz w:w="11906" w:h="16838" w:orient="portrait"/>
          <w:pgMar w:top="1134" w:right="851" w:bottom="1134" w:left="1701" w:header="567" w:footer="567" w:gutter="0"/>
          <w:cols w:num="1" w:sep="0" w:space="708" w:equalWidth="1"/>
          <w:docGrid w:linePitch="360"/>
          <w:titlePg/>
        </w:sectPr>
      </w:pPr>
      <w:r/>
      <w:r/>
    </w:p>
    <w:p>
      <w:pPr>
        <w:pStyle w:val="1999"/>
        <w:ind w:firstLine="709"/>
        <w:spacing w:before="0" w:after="0" w:line="360" w:lineRule="auto"/>
        <w:rPr>
          <w:b/>
        </w:rPr>
      </w:pPr>
      <w:r>
        <w:rPr>
          <w:b/>
          <w:color w:val="000000"/>
        </w:rPr>
        <w:t xml:space="preserve">3.2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Телеметрия и </w:t>
      </w:r>
      <w:r>
        <w:rPr>
          <w:b/>
        </w:rPr>
        <w:t xml:space="preserve">телемеханика (средства измерений)</w:t>
      </w:r>
      <w:r>
        <w:rPr>
          <w:b/>
        </w:rPr>
      </w:r>
      <w:r>
        <w:rPr>
          <w:b/>
        </w:rPr>
      </w:r>
    </w:p>
    <w:p>
      <w:pPr>
        <w:pStyle w:val="1999"/>
        <w:ind w:firstLine="709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Для контроля режима работы скважин и управлением технологическим процессом в составе фонда скважин ГП- применяется: 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numPr>
          <w:ilvl w:val="0"/>
          <w:numId w:val="20"/>
        </w:numPr>
        <w:ind w:left="0" w:firstLine="709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Нестандартное сужающее </w:t>
      </w:r>
      <w:r>
        <w:rPr>
          <w:color w:val="000000"/>
        </w:rPr>
        <w:t xml:space="preserve">устройство КРАУ5.183.013 расходомера газа «ГиперФлоу», являющееся конструктивной базой для сборки расходомера газа «ГиперФлоу» КРАУ2.833.006 ТУ и предназначенное для создания переменного перепада давления. НСУ обеспечивает возможность подключения датчика «</w:t>
      </w:r>
      <w:r>
        <w:t xml:space="preserve">ГиперФлоу-3Пм</w:t>
      </w:r>
      <w:r>
        <w:rPr>
          <w:color w:val="000000"/>
        </w:rPr>
        <w:t xml:space="preserve">» для измерения и регистраци</w:t>
      </w:r>
      <w:r>
        <w:rPr>
          <w:color w:val="000000"/>
        </w:rPr>
        <w:t xml:space="preserve">и измеренных и вычисленных параметров измеряемой среды и выдачи измеренных, вычисленных и зарегистрированных данных на встроенный индикатор, а также для дистанционной передачи данных в цифровой форме в автоматизированных системах сбора данных и управления.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numPr>
          <w:ilvl w:val="0"/>
          <w:numId w:val="20"/>
        </w:numPr>
        <w:ind w:left="0" w:firstLine="709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Система подачи ингибитора СПИ-02 КРАУ2.833.014: предназначена для дистанционного регулирования подачи ингибитора в трубопроводы. Подача заданного расхода ингибитора осуществляется посредством изменения площади проходно</w:t>
      </w:r>
      <w:r>
        <w:rPr>
          <w:color w:val="000000"/>
        </w:rPr>
        <w:t xml:space="preserve">го сечения клапана-регулятора, с контролером расхода в режиме реального времени. Измерение расхода ингибитора производится датчиком комплексным с вычислителем расхода «ГиперФлоу-3Пм» методом переменного перепада давления на специальном сужающем устройстве.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ind w:firstLine="709"/>
        <w:spacing w:before="0" w:after="0" w:line="360" w:lineRule="auto"/>
        <w:rPr>
          <w:b/>
          <w:color w:val="000000"/>
        </w:rPr>
      </w:pPr>
      <w:r/>
      <w:bookmarkStart w:id="67" w:name="_Toc184786963"/>
      <w:r/>
      <w:bookmarkStart w:id="68" w:name="_Toc184786789"/>
      <w:r/>
      <w:bookmarkStart w:id="69" w:name="_Toc184727300"/>
      <w:r/>
      <w:bookmarkStart w:id="70" w:name="_Toc184800440"/>
      <w:r/>
      <w:bookmarkStart w:id="71" w:name="_Toc157932329"/>
      <w:r/>
      <w:bookmarkEnd w:id="67"/>
      <w:r/>
      <w:bookmarkEnd w:id="68"/>
      <w:r/>
      <w:bookmarkEnd w:id="69"/>
      <w:r/>
      <w:bookmarkEnd w:id="70"/>
      <w:r/>
      <w:bookmarkEnd w:id="71"/>
      <w:r>
        <w:rPr>
          <w:b/>
          <w:color w:val="000000"/>
        </w:rPr>
        <w:t xml:space="preserve">3.3</w:t>
      </w:r>
      <w:r>
        <w:rPr>
          <w:color w:val="000000"/>
        </w:rPr>
        <w:t xml:space="preserve"> </w:t>
      </w:r>
      <w:r>
        <w:rPr>
          <w:b/>
          <w:color w:val="000000"/>
        </w:rPr>
        <w:t xml:space="preserve">Предупреждение гидратообразования</w:t>
      </w:r>
      <w:r>
        <w:rPr>
          <w:b/>
          <w:color w:val="000000"/>
        </w:rPr>
      </w:r>
      <w:r>
        <w:rPr>
          <w:b/>
          <w:color w:val="000000"/>
        </w:rPr>
      </w:r>
    </w:p>
    <w:p>
      <w:pPr>
        <w:pStyle w:val="1999"/>
        <w:ind w:firstLine="709"/>
        <w:spacing w:before="0" w:after="0" w:line="360" w:lineRule="auto"/>
        <w:rPr>
          <w:b/>
          <w:color w:val="000000"/>
        </w:rPr>
      </w:pPr>
      <w:r>
        <w:rPr>
          <w:szCs w:val="24"/>
        </w:rPr>
        <w:t xml:space="preserve">В процессе добычи газа в результате изменений давления и температур может выделяться жидкая фаза (вода). Таким образом в стволе скважины и обвязке создаются условия, благоприятные для гидратообразования.</w:t>
      </w:r>
      <w:r>
        <w:rPr>
          <w:b/>
          <w:color w:val="000000"/>
        </w:rPr>
      </w:r>
      <w:r>
        <w:rPr>
          <w:b/>
          <w:color w:val="000000"/>
        </w:rPr>
      </w:r>
    </w:p>
    <w:p>
      <w:pPr>
        <w:pStyle w:val="1999"/>
        <w:ind w:firstLine="709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Гидраты природных газов представляют собой неусто</w:t>
      </w:r>
      <w:r>
        <w:rPr>
          <w:color w:val="000000"/>
        </w:rPr>
        <w:t xml:space="preserve">йчивое физико-химическое соединение воды с углеводородами, которое при повышении температуры или понижении давления разлагается на газ и воду. Гидраты по внешнему виду представляют собой белую кристаллическую массу, похожую на лёд или снег. Они относятся к</w:t>
      </w:r>
      <w:r>
        <w:rPr>
          <w:color w:val="000000"/>
        </w:rPr>
        <w:t xml:space="preserve"> веществам, в которых молекулы одних компонентов размещены в полостях решётки между узлами ассоциированных молекул другого компонента. Соединения такого рода обычно называют твёрдыми растворами внедрения, или ещё иногда их называют соединениями включения. 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ind w:firstLine="709"/>
        <w:spacing w:before="0" w:after="0" w:line="360" w:lineRule="auto"/>
        <w:rPr>
          <w:color w:val="000000"/>
        </w:rPr>
      </w:pPr>
      <w:r>
        <w:rPr>
          <w:szCs w:val="24"/>
        </w:rPr>
        <w:t xml:space="preserve">Признаком образования гидратов в скважине является снижение устьевого давления, температуры рабочей среды и дебита скважины в результате перекрытия гидратами проходного сечения труб.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ind w:firstLine="709"/>
        <w:spacing w:before="0" w:after="0" w:line="360" w:lineRule="auto"/>
      </w:pPr>
      <w:r>
        <w:t xml:space="preserve">Для предотвращения гидратообразования и ликвидации образовавшихся кристаллогидратов </w:t>
      </w:r>
      <w:r>
        <w:t xml:space="preserve">предусмотрена централизованная подача ингибитора гидратообразования - метанола. Метанол подается из здания переключающей арматуры по трубопроводам диаметром 57х6 мм, оснащенными запорной арматурой, в затрубное пространство, либо в манифольд скважин, в ГСК.</w:t>
      </w:r>
      <w:r/>
    </w:p>
    <w:p>
      <w:pPr>
        <w:pStyle w:val="1999"/>
        <w:ind w:firstLine="709"/>
        <w:spacing w:before="0" w:after="0" w:line="360" w:lineRule="auto"/>
      </w:pPr>
      <w:r>
        <w:t xml:space="preserve">На КГС установлена система подачи ингибитора СПИ-02. </w:t>
      </w:r>
      <w:r/>
    </w:p>
    <w:p>
      <w:pPr>
        <w:pStyle w:val="1999"/>
        <w:ind w:firstLine="709"/>
        <w:spacing w:before="0" w:after="0" w:line="360" w:lineRule="auto"/>
      </w:pPr>
      <w:r>
        <w:t xml:space="preserve">Система подачи ингибитора СПИ</w:t>
        <w:noBreakHyphen/>
        <w:t xml:space="preserve">02 установленная на КГС состоит из:</w:t>
      </w:r>
      <w:r/>
    </w:p>
    <w:p>
      <w:pPr>
        <w:pStyle w:val="2007"/>
        <w:numPr>
          <w:ilvl w:val="0"/>
          <w:numId w:val="65"/>
        </w:numPr>
        <w:ind w:left="0" w:firstLine="709"/>
        <w:spacing w:before="0" w:after="0" w:line="360" w:lineRule="auto"/>
      </w:pPr>
      <w:r>
        <w:t xml:space="preserve">устройство измерения расхода ингибитора гидратообразования;</w:t>
      </w:r>
      <w:r/>
    </w:p>
    <w:p>
      <w:pPr>
        <w:pStyle w:val="2007"/>
        <w:numPr>
          <w:ilvl w:val="0"/>
          <w:numId w:val="66"/>
        </w:numPr>
        <w:ind w:left="0" w:firstLine="709"/>
        <w:spacing w:before="0" w:after="0" w:line="360" w:lineRule="auto"/>
      </w:pPr>
      <w:r>
        <w:t xml:space="preserve">основные и байпасный отключающие краны для подключения (отключения) подачи метанола;</w:t>
      </w:r>
      <w:r/>
    </w:p>
    <w:p>
      <w:pPr>
        <w:pStyle w:val="2007"/>
        <w:numPr>
          <w:ilvl w:val="0"/>
          <w:numId w:val="67"/>
        </w:numPr>
        <w:ind w:left="0" w:firstLine="709"/>
        <w:spacing w:before="0" w:after="0" w:line="360" w:lineRule="auto"/>
      </w:pPr>
      <w:r>
        <w:t xml:space="preserve">основной клапан регулирующий электроприводной, осуществляющий автоматическую подачу необходимого количества метанола по сигналу расходомерного устройства;</w:t>
      </w:r>
      <w:r/>
    </w:p>
    <w:p>
      <w:pPr>
        <w:pStyle w:val="2007"/>
        <w:numPr>
          <w:ilvl w:val="0"/>
          <w:numId w:val="68"/>
        </w:numPr>
        <w:ind w:left="0" w:firstLine="709"/>
        <w:spacing w:before="0" w:after="0" w:line="360" w:lineRule="auto"/>
      </w:pPr>
      <w:r>
        <w:t xml:space="preserve">обратный клапан для предотвращения перетока жидкости в обратном направлении.</w:t>
      </w:r>
      <w:r/>
    </w:p>
    <w:p>
      <w:pPr>
        <w:pStyle w:val="1999"/>
        <w:ind w:firstLine="709"/>
        <w:spacing w:line="360" w:lineRule="auto"/>
        <w:rPr>
          <w:b/>
          <w:color w:val="000000"/>
        </w:rPr>
      </w:pPr>
      <w:r>
        <w:rPr>
          <w:b/>
          <w:color w:val="000000"/>
        </w:rPr>
        <w:t xml:space="preserve">3.4</w:t>
      </w:r>
      <w:r>
        <w:rPr>
          <w:rFonts w:eastAsia="Calibri" w:eastAsiaTheme="minorHAnsi"/>
          <w:b/>
          <w:sz w:val="22"/>
          <w:szCs w:val="22"/>
          <w:lang w:eastAsia="en-US"/>
        </w:rPr>
        <w:t xml:space="preserve"> </w:t>
      </w:r>
      <w:r>
        <w:rPr>
          <w:b/>
          <w:color w:val="000000"/>
        </w:rPr>
        <w:t xml:space="preserve">Эксплуатация скважин с межколонным давлением</w:t>
      </w:r>
      <w:r>
        <w:rPr>
          <w:b/>
          <w:color w:val="000000"/>
        </w:rPr>
      </w:r>
      <w:r>
        <w:rPr>
          <w:b/>
          <w:color w:val="000000"/>
        </w:rPr>
      </w:r>
    </w:p>
    <w:p>
      <w:pPr>
        <w:pStyle w:val="1999"/>
        <w:ind w:firstLine="709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Эксплуатация скважин с межколонными давлениями Газового промысла , осуществляется в соответствии с требованиями СТО Газпром 2-2.3-696-2013 «Руководство по эксплуатации скважин с межколонными давлениями на месторождениях и подземных хранилищах газа».</w:t>
      </w:r>
      <w:r>
        <w:rPr>
          <w:color w:val="000000"/>
        </w:rPr>
      </w:r>
      <w:r>
        <w:rPr>
          <w:color w:val="000000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  <w:framePr w:w="9093" w:h="2760" w:vSpace="0" w:hSpace="180" w:wrap="around" w:vAnchor="text" w:hAnchor="text" w:y="1" w:hRule="exact"/>
      </w:pPr>
      <w:r>
        <w:rPr>
          <w:color w:val="000000"/>
          <w:sz w:val="24"/>
          <w:szCs w:val="24"/>
        </w:rPr>
        <w:t xml:space="preserve">Мониторинг и контроль МКД осуществляются по утверждённому графику путём обследования устьев скважин </w:t>
      </w:r>
      <w:r>
        <w:rPr>
          <w:bCs/>
          <w:sz w:val="24"/>
          <w:szCs w:val="24"/>
        </w:rPr>
        <w:t xml:space="preserve">эксплуатирующим </w:t>
      </w:r>
      <w:r>
        <w:rPr>
          <w:color w:val="000000"/>
          <w:sz w:val="24"/>
          <w:szCs w:val="24"/>
        </w:rPr>
        <w:t xml:space="preserve">персоналом. </w:t>
      </w:r>
      <w:r>
        <w:rPr>
          <w:sz w:val="24"/>
          <w:szCs w:val="24"/>
        </w:rPr>
        <w:t xml:space="preserve">Обследования включают осмотр территории вокруг скважины, приустьевого участка, колонной головки, запорной и контрольной арматуры МКП на н</w:t>
      </w:r>
      <w:r>
        <w:rPr>
          <w:sz w:val="24"/>
          <w:szCs w:val="24"/>
        </w:rPr>
        <w:t xml:space="preserve">аличие утечек, а также замер давления в межколонных пространствах скважин. При наличии межколонного давления фиксируется текущее состояние скважины (простой, закачка, отбор газа, ремонт и т.п.), регистрируется давление в трубном и затрубном пространствах.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999"/>
        <w:ind w:firstLine="709"/>
        <w:spacing w:before="0" w:after="0" w:line="360" w:lineRule="auto"/>
        <w:rPr>
          <w:szCs w:val="24"/>
        </w:rPr>
      </w:pPr>
      <w:r>
        <w:rPr>
          <w:szCs w:val="24"/>
        </w:rPr>
        <w:t xml:space="preserve">Результаты обследований заносят в журнал контроля скважин и передаются в УГРиЛМ.</w:t>
      </w:r>
      <w:r>
        <w:rPr>
          <w:szCs w:val="24"/>
        </w:rPr>
      </w:r>
      <w:r>
        <w:rPr>
          <w:szCs w:val="24"/>
        </w:rPr>
      </w:r>
    </w:p>
    <w:p>
      <w:pPr>
        <w:pStyle w:val="1999"/>
        <w:ind w:firstLine="709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Обязательным условием эксплуатации скважин с МКД являются осуществление систематического контроля, принятие оперативных мер по выявлению причин (источников) его возникновения и проведение работ по ограничению и снижению межколонных давлений. 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ind w:firstLine="709"/>
        <w:spacing w:before="0" w:after="0" w:line="360" w:lineRule="auto"/>
      </w:pPr>
      <w:r>
        <w:t xml:space="preserve">В случае обнаружения признаков предельного состояния МКП производится совместное обследование скважины в составе представителей ИТЦ, Филиал, УГРиЛМ, а также ф. СВЧ ООО «Газпром газобезопасность». Результаты обследования оформляются актом. </w:t>
      </w:r>
      <w:r/>
    </w:p>
    <w:p>
      <w:pPr>
        <w:pStyle w:val="1999"/>
        <w:ind w:firstLine="709"/>
        <w:spacing w:before="0" w:after="0" w:line="360" w:lineRule="auto"/>
      </w:pPr>
      <w:r>
        <w:t xml:space="preserve">В случае подтверждения предельного состояния МКП скважина протокол</w:t>
      </w:r>
      <w:r>
        <w:t xml:space="preserve">ом технического совещания под руководством главного инженера – первого заместителя генерального директора Общества переводится в 1-й класс опасности. Экземпляры протокола передаются в СПиПБ, ИТЦ, ПрОДТГКиН, УГРиЛМ и в ф. СВЧ ООО «Газпром газобезопасность».</w:t>
      </w:r>
      <w:r/>
    </w:p>
    <w:p>
      <w:pPr>
        <w:pStyle w:val="1999"/>
        <w:ind w:firstLine="709"/>
        <w:spacing w:before="0" w:after="0" w:line="360" w:lineRule="auto"/>
      </w:pPr>
      <w:r>
        <w:t xml:space="preserve">После присвоения скважине 1-го класса опасности по состоянию МКП проводится комплекс исследований по определению источника МКД скважины 1-го класса опасности.</w:t>
      </w:r>
      <w:r/>
    </w:p>
    <w:p>
      <w:pPr>
        <w:pStyle w:val="1999"/>
        <w:ind w:firstLine="709"/>
        <w:spacing w:before="0" w:after="0" w:line="360" w:lineRule="auto"/>
      </w:pPr>
      <w:r>
        <w:t xml:space="preserve">По скважинам 1-го класса опасности разрабатываются мероприятия по ликвидации МКД или мероприятия, обеспечивающие безопасное бездействие скважины в ожидании КРС. Выполнение мероприятий оформляется актами. </w:t>
      </w:r>
      <w:r/>
    </w:p>
    <w:p>
      <w:pPr>
        <w:pStyle w:val="1999"/>
        <w:ind w:firstLine="709"/>
        <w:spacing w:before="0" w:after="0" w:line="360" w:lineRule="auto"/>
      </w:pPr>
      <w:r>
        <w:t xml:space="preserve">При ликвидации МКД 1-го класса опасности производится совместное обследование скважины в составе представителей ИТЦ, ГПУ/Филиал, УГРиЛМ, а также ф. СВЧ ООО «Газпром газобезопасность». Результаты обследования оформляются актом.</w:t>
      </w:r>
      <w:r/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На основании акта о проведенных работах по ликвидации МКД 1-го класса опасности, акта совместного обследования скважины после проведенных работ п</w:t>
      </w:r>
      <w:r>
        <w:rPr>
          <w:sz w:val="24"/>
          <w:szCs w:val="24"/>
        </w:rPr>
        <w:t xml:space="preserve">ротоколом технического совещания под руководством главного инженера – первого заместителя генерального директора Общества скважина выводится из 1-го класса опасности. Класс опасности присваивается в зависимости от текущего технического состояния скважины.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Отнесение скважин к другим классам опасности проводится на основании исследований: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газогидродинамические исследования;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анализ состава флюида;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– </w:t>
      </w:r>
      <w:r>
        <w:rPr>
          <w:sz w:val="24"/>
          <w:szCs w:val="24"/>
        </w:rPr>
        <w:t xml:space="preserve">геофизические исследования.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999"/>
        <w:ind w:firstLine="709"/>
        <w:jc w:val="left"/>
        <w:spacing w:before="0" w:after="0" w:line="360" w:lineRule="auto"/>
        <w:rPr>
          <w:szCs w:val="24"/>
        </w:rPr>
      </w:pPr>
      <w:r>
        <w:rPr>
          <w:szCs w:val="24"/>
        </w:rPr>
        <w:t xml:space="preserve">Результаты исследований оформляются актами. </w:t>
      </w:r>
      <w:r>
        <w:rPr>
          <w:color w:val="000000"/>
        </w:rPr>
        <w:t xml:space="preserve">Эксплуатация скважин с МКД, находящихся в предельном состоянии, не допускается.</w:t>
      </w:r>
      <w:r>
        <w:rPr>
          <w:szCs w:val="24"/>
        </w:rPr>
      </w:r>
      <w:r>
        <w:rPr>
          <w:szCs w:val="24"/>
        </w:rPr>
      </w:r>
    </w:p>
    <w:p>
      <w:pPr>
        <w:pStyle w:val="1999"/>
        <w:ind w:firstLine="709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При обнаружении неисправности запорной или контрольной арматуры, не позволяющей контролир</w:t>
      </w:r>
      <w:r>
        <w:rPr>
          <w:color w:val="000000"/>
        </w:rPr>
        <w:t xml:space="preserve">овать межколонное пространство (негерметичность соединений, утечки по штокам, непроходимость проточной части, отсутствие или заклинивание частей), должны быть приняты меры по восстановлению исправного состояния или по замене неисправных элементов арматуры.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ind w:firstLine="709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Для замера межколонных давлений при мониторинге и контроле необходимо использовать деформационные или электронные манометры с классом точности не ниже 0,6. Манометры должны быть поверены в установленном порядке.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ind w:firstLine="709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Скважины с межколонным давлением необходимо эксплуатировать с максимально возможной технологической производительностью, определённой по результатам ГДИ, но не выше проектной</w:t>
      </w:r>
      <w:r>
        <w:rPr>
          <w:color w:val="000000"/>
        </w:rPr>
        <w:t xml:space="preserve"> величины, при соблюдении рациональных условий разработки месторождения, охраны недр и техники безопасности. Этими мерами достигается понижение давления в области потенциальных источников газопроявлений (в прискважинной зоне, на забое, в лифтовой колонне).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ind w:firstLine="709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На скважинах в зоне распространения многолетнемёрзлых пород запрещаются длительные остановки ск</w:t>
      </w:r>
      <w:r>
        <w:rPr>
          <w:color w:val="000000"/>
        </w:rPr>
        <w:t xml:space="preserve">важины во избежание роста рабочего давления до статического, охлаждение ствола скважины и устьевого оборудования, появления дополнительных знакопеременных напряжений, неблагоприятно влияющих на герметичность резьбовых соединений и уплотнительных элементов.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ind w:firstLine="709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Снижение межколонного давления может быть осуществлено путём проведения периодических стравливаний межколонного флюида.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ind w:firstLine="709"/>
        <w:spacing w:before="0" w:after="0" w:line="360" w:lineRule="auto"/>
        <w:rPr>
          <w:color w:val="000000"/>
        </w:rPr>
      </w:pPr>
      <w:r>
        <w:rPr>
          <w:color w:val="000000"/>
        </w:rPr>
        <w:t xml:space="preserve">Повышение достоверности информации о техническом состоянии скважин должно обеспечива</w:t>
      </w:r>
      <w:r>
        <w:rPr>
          <w:color w:val="000000"/>
        </w:rPr>
        <w:t xml:space="preserve">ться использованием любой информации, получаемой как в результате проведения специальных исследований по выявлению причин МКД, так и в рамках экспертизы промышленной безопасности, капитального ремонта, других исследований и работ, проведённых в скважинах. </w:t>
      </w:r>
      <w:r>
        <w:rPr>
          <w:color w:val="000000"/>
        </w:rPr>
      </w:r>
      <w:r>
        <w:rPr>
          <w:color w:val="000000"/>
        </w:rPr>
      </w:r>
    </w:p>
    <w:p>
      <w:pPr>
        <w:pStyle w:val="1999"/>
        <w:ind w:firstLine="709"/>
        <w:spacing w:line="360" w:lineRule="auto"/>
        <w:rPr>
          <w:color w:val="000000"/>
        </w:rPr>
      </w:pPr>
      <w:r>
        <w:rPr>
          <w:b/>
          <w:color w:val="000000"/>
        </w:rPr>
        <w:t xml:space="preserve">3.5</w:t>
      </w:r>
      <w:r>
        <w:t xml:space="preserve"> </w:t>
      </w:r>
      <w:r>
        <w:rPr>
          <w:b/>
          <w:szCs w:val="24"/>
        </w:rPr>
        <w:t xml:space="preserve">Исследование газовых скважин</w:t>
      </w:r>
      <w:r>
        <w:rPr>
          <w:color w:val="000000"/>
        </w:rPr>
      </w:r>
      <w:r>
        <w:rPr>
          <w:color w:val="000000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Исследование скважин – это комплекс работ по изучению геолого-промысловой характеристики пластов и продуктивности </w:t>
      </w:r>
      <w:r>
        <w:rPr>
          <w:sz w:val="24"/>
          <w:szCs w:val="24"/>
        </w:rPr>
        <w:t xml:space="preserve">скважин, свойств газов и жидкостей, насыщающих пласты, а также процессов, проходящих в пласте, на забое и в стволе скважины при добыче газа, с целью установления оптимального технологического режима эксплуатации скважин, регулирования процесса разработки з</w:t>
      </w:r>
      <w:r>
        <w:rPr>
          <w:sz w:val="24"/>
          <w:szCs w:val="24"/>
        </w:rPr>
        <w:t xml:space="preserve">алежей, корректировки добычи. Исследования скважин проводит УГРиЛМ согласно план-графика проведения исследовательских работ, составляемым персоналом УГРиЛМ на год.  Работы производятся в соответствии с утвержденным Регламентом взаимодействия Филиал и УГРиЛМ.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Основные виды проводимых исследований: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- измерение давления и температуры на устье, давлений в затрубном и межколонном пространствах работающих и остановленных скважинах;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- отбор проб жидкостей, газа и конденсата с устья, и забоя скважин;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pacing w:val="-6"/>
          <w:sz w:val="24"/>
          <w:szCs w:val="24"/>
        </w:rPr>
      </w:pPr>
      <w:r>
        <w:rPr>
          <w:spacing w:val="-6"/>
          <w:sz w:val="24"/>
          <w:szCs w:val="24"/>
        </w:rPr>
        <w:t xml:space="preserve">- газогидродинамические исследования скважин на установившихся режимах фильтрации газа;</w:t>
      </w:r>
      <w:r>
        <w:rPr>
          <w:spacing w:val="-6"/>
          <w:sz w:val="24"/>
          <w:szCs w:val="24"/>
        </w:rPr>
      </w:r>
      <w:r>
        <w:rPr>
          <w:spacing w:val="-6"/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- газогидродинамические исследования скважин на неустановившихся режимах фильтрации газа;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- газоконденсатные исследования на определение содержания жидкой фазы в газожидкостном потоке;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- специальные одновременные исследования скважин на установившихся и неустановившихся режимах фильтрации газа.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tabs>
          <w:tab w:val="left" w:pos="567" w:leader="none"/>
          <w:tab w:val="clear" w:pos="709" w:leader="none"/>
        </w:tabs>
      </w:pPr>
      <w:r>
        <w:rPr>
          <w:sz w:val="24"/>
          <w:szCs w:val="24"/>
        </w:rPr>
        <w:t xml:space="preserve">Проведение газодинамических исследований скважин предусмотрено на ГФУ КГС</w:t>
      </w:r>
      <w:r>
        <w:t xml:space="preserve">*.</w:t>
      </w:r>
      <w:r/>
    </w:p>
    <w:p>
      <w:pPr>
        <w:pStyle w:val="1889"/>
        <w:ind w:firstLine="709"/>
        <w:jc w:val="both"/>
        <w:spacing w:line="360" w:lineRule="auto"/>
        <w:tabs>
          <w:tab w:val="left" w:pos="567" w:leader="none"/>
          <w:tab w:val="clear" w:pos="709" w:leader="none"/>
        </w:tabs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Газоконденсатные исследования, проводимые УГРиЛМ, производятся путем пропускания газожидкостного потока со скважины через исследовательский сепаратор и дальнейшим сжиганием газ</w:t>
      </w:r>
      <w:r>
        <w:rPr>
          <w:sz w:val="24"/>
          <w:szCs w:val="24"/>
        </w:rPr>
        <w:t xml:space="preserve">а сепарации на ГФУ куста, что сопровождается розжигом и открытым горением газожидкостной смеси в пределах амбара ГФУ. Розжиг смеси производится в соответствии с установленными нормативными требованиями путем установления в амбаре ГФУ источника воспламенени</w:t>
      </w:r>
      <w:r>
        <w:rPr>
          <w:sz w:val="24"/>
          <w:szCs w:val="24"/>
          <w:shd w:val="clear" w:color="auto" w:fill="auto"/>
        </w:rPr>
        <w:t xml:space="preserve">я. В летний пожароопасный период данные работы должны проводиться в присутствии представителей ПСЧ28.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1889"/>
        <w:ind w:firstLine="709"/>
        <w:jc w:val="both"/>
        <w:spacing w:line="360" w:lineRule="auto"/>
        <w:tabs>
          <w:tab w:val="left" w:pos="567" w:leader="none"/>
          <w:tab w:val="clear" w:pos="709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Отсепарированная пластовая жидкость из исследовательского сепаратора отводится в ёмкость для сбора жидкости и в дальнейшем, с помощью цементировочного агрегата, закачивается в газосборный колл</w:t>
      </w:r>
      <w:r>
        <w:rPr>
          <w:sz w:val="24"/>
          <w:szCs w:val="24"/>
        </w:rPr>
        <w:t xml:space="preserve">ектор куста скважин через задавочную линию трубного пространства одной из скважин. Учет и передача отсепарированной жидкости (конденсата) между представителями СГКиС УГРиЛМ и ГП- Филиал производятся в соответствии с утвержденным Регламентом взаимодействия.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999"/>
        <w:ind w:firstLine="709"/>
        <w:spacing w:line="360" w:lineRule="auto"/>
      </w:pPr>
      <w:r>
        <w:rPr>
          <w:sz w:val="24"/>
          <w:szCs w:val="24"/>
        </w:rPr>
        <w:t xml:space="preserve">*</w:t>
      </w:r>
      <w:r>
        <w:rPr>
          <w:sz w:val="20"/>
          <w:szCs w:val="24"/>
        </w:rPr>
        <w:t xml:space="preserve">Приведено для информативности. Данное оборудование относится к ОПО «СИСТЕМА ПРОМЫСЛОВЫХ ТРУБОПРОВОДОВ ГАЗОВОГО ПРОМЫСЛА №   МЕСТОРОЖДЕНИЯ». </w:t>
      </w:r>
      <w:r/>
    </w:p>
    <w:p>
      <w:pPr>
        <w:pStyle w:val="2007"/>
        <w:ind w:left="0" w:firstLine="709"/>
        <w:spacing w:before="0" w:after="0" w:line="360" w:lineRule="auto"/>
      </w:pPr>
      <w:r>
        <w:br w:type="page" w:clear="all"/>
      </w:r>
      <w:r/>
    </w:p>
    <w:p>
      <w:pPr>
        <w:pStyle w:val="2168"/>
        <w:ind w:firstLine="709"/>
        <w:spacing w:before="0" w:after="0" w:line="360" w:lineRule="auto"/>
        <w:rPr>
          <w:rStyle w:val="1940"/>
          <w:highlight w:val="white"/>
        </w:rPr>
      </w:pPr>
      <w:r/>
      <w:bookmarkStart w:id="72" w:name="_Toc385517749"/>
      <w:r/>
      <w:bookmarkStart w:id="73" w:name="_Toc385183414"/>
      <w:r/>
      <w:bookmarkStart w:id="74" w:name="_Toc385183517"/>
      <w:r/>
      <w:bookmarkStart w:id="75" w:name="_Toc184786964"/>
      <w:r/>
      <w:bookmarkStart w:id="76" w:name="_Toc13992420"/>
      <w:r/>
      <w:bookmarkStart w:id="77" w:name="_Toc184786790"/>
      <w:r/>
      <w:bookmarkStart w:id="78" w:name="_Toc385427487"/>
      <w:r/>
      <w:bookmarkStart w:id="79" w:name="_Toc385183277"/>
      <w:r/>
      <w:bookmarkStart w:id="80" w:name="_Toc98746163"/>
      <w:r/>
      <w:bookmarkStart w:id="81" w:name="_Toc389464420"/>
      <w:r/>
      <w:bookmarkStart w:id="82" w:name="_Toc184800441"/>
      <w:r/>
      <w:bookmarkStart w:id="83" w:name="_Toc477947071_Копия_1"/>
      <w:r/>
      <w:bookmarkStart w:id="84" w:name="_Toc184727300_Копия_1"/>
      <w:r/>
      <w:bookmarkStart w:id="85" w:name="_Toc184786963_Копия_1"/>
      <w:r/>
      <w:bookmarkStart w:id="86" w:name="_Toc157932329_Копия_1"/>
      <w:r/>
      <w:bookmarkStart w:id="87" w:name="_Toc184800440_Копия_1"/>
      <w:r/>
      <w:bookmarkStart w:id="88" w:name="_Toc184786789_Копия_1"/>
      <w:r/>
      <w:bookmarkStart w:id="89" w:name="_Toc476974905_Копия_1"/>
      <w:r/>
      <w:bookmarkStart w:id="90" w:name="_Toc184727301"/>
      <w:r/>
      <w:bookmarkEnd w:id="83"/>
      <w:r/>
      <w:bookmarkEnd w:id="84"/>
      <w:r/>
      <w:bookmarkEnd w:id="85"/>
      <w:r/>
      <w:bookmarkEnd w:id="86"/>
      <w:r/>
      <w:bookmarkEnd w:id="87"/>
      <w:r/>
      <w:bookmarkEnd w:id="88"/>
      <w:r/>
      <w:bookmarkEnd w:id="89"/>
      <w:r>
        <w:rPr>
          <w:rStyle w:val="1940"/>
        </w:rPr>
        <w:t xml:space="preserve">4 Н</w:t>
      </w:r>
      <w:r>
        <w:rPr>
          <w:rStyle w:val="1940"/>
          <w:highlight w:val="white"/>
        </w:rPr>
        <w:t xml:space="preserve">ОРМЫ ТЕХНОЛОГИЧЕСКОГО РЕЖИМА</w:t>
      </w:r>
      <w:bookmarkEnd w:id="72"/>
      <w:r/>
      <w:bookmarkEnd w:id="73"/>
      <w:r/>
      <w:bookmarkEnd w:id="74"/>
      <w:r/>
      <w:bookmarkEnd w:id="75"/>
      <w:r/>
      <w:bookmarkEnd w:id="76"/>
      <w:r/>
      <w:bookmarkEnd w:id="77"/>
      <w:r/>
      <w:bookmarkEnd w:id="78"/>
      <w:r/>
      <w:bookmarkEnd w:id="79"/>
      <w:r/>
      <w:bookmarkEnd w:id="80"/>
      <w:r/>
      <w:bookmarkEnd w:id="81"/>
      <w:r/>
      <w:bookmarkEnd w:id="82"/>
      <w:r/>
      <w:bookmarkEnd w:id="90"/>
      <w:r>
        <w:rPr>
          <w:rStyle w:val="1940"/>
          <w:highlight w:val="white"/>
        </w:rPr>
      </w:r>
      <w:r>
        <w:rPr>
          <w:rStyle w:val="1940"/>
          <w:highlight w:val="white"/>
        </w:rPr>
      </w:r>
    </w:p>
    <w:p>
      <w:pPr>
        <w:pStyle w:val="1999"/>
        <w:ind w:firstLine="709"/>
        <w:spacing w:before="0" w:after="0" w:line="360" w:lineRule="auto"/>
        <w:rPr>
          <w:highlight w:val="white"/>
        </w:rPr>
      </w:pPr>
      <w:r>
        <w:rPr>
          <w:sz w:val="24"/>
          <w:szCs w:val="24"/>
          <w:highlight w:val="white"/>
        </w:rPr>
        <w:t xml:space="preserve">Технологический режим работы скважин ежеквартально разрабатывается и утверждается управлением геологии, разработки и лицензирования месторождений</w:t>
      </w:r>
      <w:r>
        <w:rPr>
          <w:highlight w:val="white"/>
        </w:rPr>
        <w:t xml:space="preserve">.</w:t>
      </w:r>
      <w:r>
        <w:rPr>
          <w:highlight w:val="white"/>
        </w:rPr>
      </w:r>
      <w:r>
        <w:rPr>
          <w:highlight w:val="white"/>
        </w:rPr>
      </w:r>
    </w:p>
    <w:p>
      <w:pPr>
        <w:pStyle w:val="1999"/>
        <w:ind w:firstLine="709"/>
        <w:spacing w:before="0" w:after="0" w:line="360" w:lineRule="auto"/>
        <w:rPr>
          <w:highlight w:val="none"/>
          <w:shd w:val="clear" w:color="auto" w:fill="auto"/>
        </w:rPr>
      </w:pPr>
      <w:r>
        <w:rPr>
          <w:rFonts w:eastAsia="Times New Roman" w:cs="Times New Roman"/>
          <w:color w:val="000000"/>
          <w:sz w:val="24"/>
          <w:szCs w:val="24"/>
          <w:shd w:val="clear" w:color="auto" w:fill="auto"/>
          <w:lang w:val="ru-RU" w:eastAsia="ru-RU" w:bidi="ar-SA"/>
        </w:rPr>
        <w:t xml:space="preserve">Нормы рабочих параметров техн</w:t>
      </w:r>
      <w:r>
        <w:rPr>
          <w:rFonts w:eastAsia="Times New Roman" w:cs="Times New Roman"/>
          <w:color w:val="000000"/>
          <w:sz w:val="24"/>
          <w:szCs w:val="24"/>
          <w:shd w:val="clear" w:color="auto" w:fill="auto"/>
          <w:lang w:val="ru-RU" w:eastAsia="ru-RU" w:bidi="ar-SA"/>
        </w:rPr>
        <w:t xml:space="preserve">ологических процессов должны соответствовать утвержденному технологическому режиму работы скважин, рабочим характеристикам участвующего в процессах оборудования. Рабочие характеристики оборудования определяются техническими паспортами, инструкциями по эксп</w:t>
      </w:r>
      <w:r>
        <w:rPr>
          <w:rFonts w:eastAsia="Times New Roman" w:cs="Times New Roman"/>
          <w:color w:val="000000"/>
          <w:sz w:val="24"/>
          <w:szCs w:val="24"/>
          <w:shd w:val="clear" w:color="auto" w:fill="auto"/>
          <w:lang w:val="ru-RU" w:eastAsia="ru-RU" w:bidi="ar-SA"/>
        </w:rPr>
        <w:t xml:space="preserve">луатации или техническими условиями поставщиков этого оборудования. Для работы в допускаемых пределах параметров необходимо своевременно корректировать режим работы скважин. При отклонении параметров от предельных значений скважина должна быть остановлена.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999"/>
        <w:ind w:firstLine="709"/>
        <w:spacing w:before="0" w:after="0" w:line="360" w:lineRule="auto"/>
        <w:rPr>
          <w:rFonts w:eastAsia="Times New Roman" w:cs="Times New Roman"/>
          <w:color w:val="000000"/>
          <w:sz w:val="24"/>
          <w:szCs w:val="24"/>
          <w:highlight w:val="none"/>
          <w:lang w:val="ru-RU" w:eastAsia="ru-RU" w:bidi="ar-SA"/>
        </w:rPr>
      </w:pPr>
      <w:r>
        <w:rPr>
          <w:rFonts w:eastAsia="Times New Roman" w:cs="Times New Roman"/>
          <w:color w:val="000000"/>
          <w:sz w:val="24"/>
          <w:szCs w:val="24"/>
          <w:highlight w:val="white"/>
          <w:shd w:val="clear" w:color="auto" w:fill="81d41a"/>
          <w:lang w:val="ru-RU" w:eastAsia="ru-RU" w:bidi="ar-SA"/>
        </w:rPr>
        <w:t xml:space="preserve">Нормы параметров сгруппированы по объектам и представлены в таблице 4.1</w:t>
      </w:r>
      <w:r>
        <w:rPr>
          <w:rFonts w:eastAsia="Times New Roman" w:cs="Times New Roman"/>
          <w:color w:val="000000"/>
          <w:sz w:val="24"/>
          <w:szCs w:val="24"/>
          <w:highlight w:val="none"/>
          <w:lang w:val="ru-RU" w:eastAsia="ru-RU" w:bidi="ar-SA"/>
        </w:rPr>
      </w:r>
      <w:r>
        <w:rPr>
          <w:rFonts w:eastAsia="Times New Roman" w:cs="Times New Roman"/>
          <w:color w:val="000000"/>
          <w:sz w:val="24"/>
          <w:szCs w:val="24"/>
          <w:highlight w:val="none"/>
          <w:lang w:val="ru-RU" w:eastAsia="ru-RU" w:bidi="ar-SA"/>
        </w:rPr>
      </w:r>
    </w:p>
    <w:p>
      <w:pPr>
        <w:pStyle w:val="1999"/>
        <w:spacing w:before="0" w:after="0" w:line="240" w:lineRule="auto"/>
        <w:rPr>
          <w:szCs w:val="24"/>
        </w:rPr>
      </w:pPr>
      <w:r>
        <w:rPr>
          <w:szCs w:val="24"/>
        </w:rPr>
        <w:t xml:space="preserve">Таблица 4.1 – Нормы параметров технологических процессов</w:t>
      </w:r>
      <w:r>
        <w:rPr>
          <w:szCs w:val="24"/>
        </w:rPr>
      </w:r>
      <w:r>
        <w:rPr>
          <w:szCs w:val="24"/>
        </w:rPr>
      </w:r>
    </w:p>
    <w:tbl>
      <w:tblPr>
        <w:tblW w:w="5000" w:type="pct"/>
        <w:jc w:val="center"/>
        <w:tblInd w:w="0" w:type="dxa"/>
        <w:tblLayout w:type="fixed"/>
        <w:tblCellMar>
          <w:left w:w="85" w:type="dxa"/>
          <w:top w:w="0" w:type="dxa"/>
          <w:right w:w="85" w:type="dxa"/>
          <w:bottom w:w="0" w:type="dxa"/>
        </w:tblCellMar>
        <w:tblLook w:val="0000" w:firstRow="0" w:lastRow="0" w:firstColumn="0" w:lastColumn="0" w:noHBand="0" w:noVBand="0"/>
      </w:tblPr>
      <w:tblGrid>
        <w:gridCol w:w="924"/>
        <w:gridCol w:w="3132"/>
        <w:gridCol w:w="1336"/>
        <w:gridCol w:w="1180"/>
        <w:gridCol w:w="1723"/>
        <w:gridCol w:w="1058"/>
      </w:tblGrid>
      <w:tr>
        <w:tblPrEx/>
        <w:trPr>
          <w:trHeight w:val="459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№№ </w:t>
            </w:r>
            <w:r>
              <w:rPr>
                <w:bCs/>
              </w:rPr>
              <w:t xml:space="preserve">п.п.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Стадии процесса, аппараты, рабочие параметры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Позиция прибора по схеме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Единица измерения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Допускаемые пределы параметров</w:t>
            </w:r>
            <w:r>
              <w:rPr>
                <w:bCs/>
                <w:vertAlign w:val="superscript"/>
              </w:rPr>
              <w:t xml:space="preserve">1</w:t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Класс точности прибора</w:t>
            </w:r>
            <w:r>
              <w:rPr>
                <w:bCs/>
              </w:rPr>
            </w:r>
            <w:r>
              <w:rPr>
                <w:bCs/>
              </w:rPr>
            </w:r>
          </w:p>
        </w:tc>
      </w:tr>
      <w:tr>
        <w:tblPrEx/>
        <w:trPr>
          <w:trHeight w:val="459"/>
        </w:trPr>
        <w:tc>
          <w:tcPr>
            <w:gridSpan w:val="6"/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5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bCs/>
              </w:rPr>
            </w:pPr>
            <w:r>
              <w:rPr>
                <w:bCs/>
              </w:rPr>
              <w:t xml:space="preserve">КГС №1 (Скважины №№ 20101, 20102, 20103, 20104, 20105, 20106)</w:t>
            </w:r>
            <w:r>
              <w:rPr>
                <w:bCs/>
              </w:rPr>
            </w:r>
            <w:r>
              <w:rPr>
                <w:bCs/>
              </w:rPr>
            </w:r>
          </w:p>
        </w:tc>
      </w:tr>
      <w:tr>
        <w:tblPrEx/>
        <w:trPr>
          <w:trHeight w:val="459"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1.1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</w:pPr>
            <w:r>
              <w:t xml:space="preserve">Давление газа (min/max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1.2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</w:pPr>
            <w:r>
              <w:t xml:space="preserve">Температура газа (min/max</w:t>
            </w:r>
            <w:r>
              <w:rPr>
                <w:vertAlign w:val="superscript"/>
              </w:rPr>
              <w:t xml:space="preserve">3</w:t>
            </w:r>
            <w:r>
              <w:t xml:space="preserve">)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1.3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после клапана-регулятора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11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1.4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1.5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1.6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1.7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кг/час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1.8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0,075</w:t>
            </w:r>
            <w:r/>
          </w:p>
        </w:tc>
      </w:tr>
      <w:tr>
        <w:tblPrEx/>
        <w:trPr>
          <w:trHeight w:val="459"/>
        </w:trPr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1.9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auto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gridSpan w:val="6"/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5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bCs/>
              </w:rPr>
              <w:t xml:space="preserve">КГС №2 (Скважины №№ 20201, 20202, 20203, 20204, 20205, 20206)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2.1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</w:pPr>
            <w:r>
              <w:t xml:space="preserve">Давление газа (min/max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2.2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</w:pPr>
            <w:r>
              <w:t xml:space="preserve">Температура газа (min/max</w:t>
            </w:r>
            <w:r>
              <w:rPr>
                <w:vertAlign w:val="superscript"/>
              </w:rPr>
              <w:t xml:space="preserve">3</w:t>
            </w:r>
            <w:r>
              <w:t xml:space="preserve">)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2.3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2.4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2.5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2.6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2.7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кг/час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2.8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0,075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2.9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gridSpan w:val="6"/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5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bCs/>
                <w:shd w:val="clear" w:color="auto" w:fill="auto"/>
              </w:rPr>
              <w:t xml:space="preserve">КГС №3 (Скважины №№ 20301, 20302, 20303, 20304, 20305, 20306, 20307)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3.1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газа (min/max</w:t>
            </w:r>
            <w:r>
              <w:rPr>
                <w:shd w:val="clear" w:color="auto" w:fill="auto"/>
                <w:vertAlign w:val="superscript"/>
              </w:rPr>
              <w:t xml:space="preserve">2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3.2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(min/max</w:t>
            </w:r>
            <w:r>
              <w:rPr>
                <w:shd w:val="clear" w:color="auto" w:fill="auto"/>
                <w:vertAlign w:val="superscript"/>
              </w:rPr>
              <w:t xml:space="preserve">3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3.3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3.4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3.5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3.6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3.7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кг/час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3.8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0,075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3.9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gridSpan w:val="6"/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5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bCs/>
                <w:shd w:val="clear" w:color="auto" w:fill="auto"/>
              </w:rPr>
              <w:t xml:space="preserve">КГС №4 (Скважины №№ 20401, 20402, 20403, 20404, 20405, 20406)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4.1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газа (min/max</w:t>
            </w:r>
            <w:r>
              <w:rPr>
                <w:shd w:val="clear" w:color="auto" w:fill="auto"/>
                <w:vertAlign w:val="superscript"/>
              </w:rPr>
              <w:t xml:space="preserve">2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4.2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(min/max</w:t>
            </w:r>
            <w:r>
              <w:rPr>
                <w:shd w:val="clear" w:color="auto" w:fill="auto"/>
                <w:vertAlign w:val="superscript"/>
              </w:rPr>
              <w:t xml:space="preserve">3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4.3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4.4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4.5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4.6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4.7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кг/час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4.8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0,075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4.9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gridSpan w:val="6"/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5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bCs/>
                <w:shd w:val="clear" w:color="auto" w:fill="auto"/>
              </w:rPr>
              <w:t xml:space="preserve">КГС №5 (Скважины №№ 20501, 20502, 20503, 20504, 20505, 20506)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5.1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газа (min/max</w:t>
            </w:r>
            <w:r>
              <w:rPr>
                <w:shd w:val="clear" w:color="auto" w:fill="auto"/>
                <w:vertAlign w:val="superscript"/>
              </w:rPr>
              <w:t xml:space="preserve">2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607"/>
        </w:trPr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5.2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(min/max</w:t>
            </w:r>
            <w:r>
              <w:rPr>
                <w:shd w:val="clear" w:color="auto" w:fill="auto"/>
                <w:vertAlign w:val="superscript"/>
              </w:rPr>
              <w:t xml:space="preserve">3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500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5.3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500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5.4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500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5.5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500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5.6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500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5.7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кг/час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500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5.8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0,075</w:t>
            </w:r>
            <w:r/>
          </w:p>
        </w:tc>
      </w:tr>
      <w:tr>
        <w:tblPrEx/>
        <w:trPr>
          <w:trHeight w:val="500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5.9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gridSpan w:val="6"/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5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before="0" w:after="0" w:line="360" w:lineRule="auto"/>
              <w:rPr>
                <w:highlight w:val="none"/>
                <w:shd w:val="clear" w:color="auto" w:fill="auto"/>
              </w:rPr>
            </w:pPr>
            <w:r>
              <w:rPr>
                <w:bCs/>
                <w:shd w:val="clear" w:color="auto" w:fill="auto"/>
              </w:rPr>
              <w:t xml:space="preserve">КГС №6 (Скважины №№ 20601, 20602, 20603, 20604, 20605)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6.1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газа (min/max</w:t>
            </w:r>
            <w:r>
              <w:rPr>
                <w:shd w:val="clear" w:color="auto" w:fill="auto"/>
                <w:vertAlign w:val="superscript"/>
              </w:rPr>
              <w:t xml:space="preserve">2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6.2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(min/max</w:t>
            </w:r>
            <w:r>
              <w:rPr>
                <w:shd w:val="clear" w:color="auto" w:fill="auto"/>
                <w:vertAlign w:val="superscript"/>
              </w:rPr>
              <w:t xml:space="preserve">3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6.3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6.4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6.5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6.6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6.7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кг/час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6.8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0,075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/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gridSpan w:val="6"/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5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bCs/>
                <w:shd w:val="clear" w:color="auto" w:fill="auto"/>
              </w:rPr>
              <w:t xml:space="preserve">КГС №7 (Скважины №№ 20701, 20702, 20703, 20704, 20705, 20706)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7.1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газа (min/max</w:t>
            </w:r>
            <w:r>
              <w:rPr>
                <w:shd w:val="clear" w:color="auto" w:fill="auto"/>
                <w:vertAlign w:val="superscript"/>
              </w:rPr>
              <w:t xml:space="preserve">2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7.2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(min/max</w:t>
            </w:r>
            <w:r>
              <w:rPr>
                <w:shd w:val="clear" w:color="auto" w:fill="auto"/>
                <w:vertAlign w:val="superscript"/>
              </w:rPr>
              <w:t xml:space="preserve">3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7.3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7.4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7.5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7.6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7.7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кг/час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7.8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0,075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7.9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gridSpan w:val="6"/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5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bCs/>
                <w:shd w:val="clear" w:color="auto" w:fill="auto"/>
              </w:rPr>
              <w:t xml:space="preserve">КГС №8 (Скважины №№ 20801, 20802, 20803, 20804, 20805, 20806)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8.1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газа (min/max</w:t>
            </w:r>
            <w:r>
              <w:rPr>
                <w:shd w:val="clear" w:color="auto" w:fill="auto"/>
                <w:vertAlign w:val="superscript"/>
              </w:rPr>
              <w:t xml:space="preserve">2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8.2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(min/max</w:t>
            </w:r>
            <w:r>
              <w:rPr>
                <w:shd w:val="clear" w:color="auto" w:fill="auto"/>
                <w:vertAlign w:val="superscript"/>
              </w:rPr>
              <w:t xml:space="preserve">3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8.3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8.4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8.5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8.6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8.7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кг/час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8.8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0,075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8.9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gridSpan w:val="6"/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5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bCs/>
              </w:rPr>
              <w:t xml:space="preserve">КГС №9 (Скважины №№ 20901, 20902, 20903, 20904, 20905, 20906)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9.1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</w:pPr>
            <w:r>
              <w:t xml:space="preserve">Давление газа (min/max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9.2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</w:pPr>
            <w:r>
              <w:t xml:space="preserve">Температура газа (min/max</w:t>
            </w:r>
            <w:r>
              <w:rPr>
                <w:vertAlign w:val="superscript"/>
              </w:rPr>
              <w:t xml:space="preserve">3</w:t>
            </w:r>
            <w:r>
              <w:t xml:space="preserve">)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9.3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9.4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9.5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9.6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9.7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кг/час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9.8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0,075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9.9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gridSpan w:val="6"/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35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bCs/>
                <w:shd w:val="clear" w:color="auto" w:fill="auto"/>
              </w:rPr>
              <w:t xml:space="preserve">КГС №10 (Скважины №№ 21001, 21002, 21003, 21004, 21005, 21006, 21007)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10.1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газа (min/max</w:t>
            </w:r>
            <w:r>
              <w:rPr>
                <w:shd w:val="clear" w:color="auto" w:fill="auto"/>
                <w:vertAlign w:val="superscript"/>
              </w:rPr>
              <w:t xml:space="preserve">2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10.2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(min/max</w:t>
            </w:r>
            <w:r>
              <w:rPr>
                <w:shd w:val="clear" w:color="auto" w:fill="auto"/>
                <w:vertAlign w:val="superscript"/>
              </w:rPr>
              <w:t xml:space="preserve">3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10.3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yellow"/>
              </w:rPr>
            </w:pPr>
            <w:r>
              <w:t xml:space="preserve">-</w:t>
            </w:r>
            <w:r>
              <w:rPr>
                <w:highlight w:val="yellow"/>
              </w:rPr>
            </w:r>
            <w:r>
              <w:rPr>
                <w:highlight w:val="yellow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10.4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</w:t>
            </w:r>
            <w:r>
              <w:rPr>
                <w:vertAlign w:val="superscript"/>
              </w:rPr>
              <w:t xml:space="preserve">3</w:t>
            </w:r>
            <w:r>
              <w:t xml:space="preserve">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10.5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В</w:t>
            </w:r>
            <w:r>
              <w:rPr>
                <w:vertAlign w:val="superscript"/>
              </w:rPr>
              <w:t xml:space="preserve">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10.6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10.7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кг/час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5%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10.8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МПа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0,075</w:t>
            </w:r>
            <w:r/>
          </w:p>
        </w:tc>
      </w:tr>
      <w:tr>
        <w:tblPrEx/>
        <w:trPr>
          <w:trHeight w:val="459"/>
        </w:trPr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2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10.9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132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3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10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2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ffffff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5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0.5 </w:t>
            </w:r>
            <w:r>
              <w:rPr>
                <w:rFonts w:ascii="Symbol" w:hAnsi="Symbol" w:eastAsia="Symbol" w:cs="Symbol"/>
              </w:rPr>
              <w:t xml:space="preserve">°</w:t>
            </w:r>
            <w:r>
              <w:t xml:space="preserve">С</w:t>
            </w:r>
            <w:r/>
          </w:p>
        </w:tc>
      </w:tr>
    </w:tbl>
    <w:p>
      <w:pPr>
        <w:pStyle w:val="1889"/>
      </w:pPr>
      <w:r/>
      <w:r/>
    </w:p>
    <w:p>
      <w:pPr>
        <w:pStyle w:val="1889"/>
      </w:pPr>
      <w:r>
        <w:t xml:space="preserve">________________________________________</w:t>
      </w:r>
      <w:r/>
    </w:p>
    <w:p>
      <w:pPr>
        <w:pStyle w:val="1889"/>
      </w:pPr>
      <w:r/>
      <w:r/>
    </w:p>
    <w:p>
      <w:pPr>
        <w:pStyle w:val="1889"/>
        <w:rPr>
          <w:vertAlign w:val="superscript"/>
        </w:rPr>
      </w:pPr>
      <w:r>
        <w:rPr>
          <w:vertAlign w:val="superscript"/>
        </w:rPr>
        <w:t xml:space="preserve">1 </w:t>
      </w:r>
      <w:r>
        <w:rPr>
          <w:position w:val="0"/>
          <w:sz w:val="20"/>
          <w:vertAlign w:val="baseline"/>
        </w:rPr>
        <w:t xml:space="preserve">Допускаемые пределы параметров устанавливаются исходя из утвержденного технологического режима работы скважин на текущий квартал. </w:t>
      </w:r>
      <w:r>
        <w:rPr>
          <w:vertAlign w:val="superscript"/>
        </w:rPr>
      </w:r>
      <w:r>
        <w:rPr>
          <w:vertAlign w:val="superscript"/>
        </w:rPr>
      </w:r>
    </w:p>
    <w:p>
      <w:pPr>
        <w:pStyle w:val="1889"/>
        <w:rPr>
          <w:vertAlign w:val="superscript"/>
        </w:rPr>
      </w:pPr>
      <w:r>
        <w:rPr>
          <w:vertAlign w:val="superscript"/>
        </w:rPr>
        <w:t xml:space="preserve">2 </w:t>
      </w:r>
      <w:r>
        <w:rPr>
          <w:position w:val="0"/>
          <w:sz w:val="20"/>
          <w:shd w:val="clear" w:color="auto" w:fill="auto"/>
          <w:vertAlign w:val="baseline"/>
        </w:rPr>
        <w:t xml:space="preserve">Минимальные и максимальные давления скважин указаны в технологическом режиме.</w:t>
      </w:r>
      <w:r>
        <w:rPr>
          <w:position w:val="0"/>
          <w:sz w:val="20"/>
          <w:shd w:val="clear" w:color="auto" w:fill="81d41a"/>
          <w:vertAlign w:val="baseline"/>
        </w:rPr>
        <w:t xml:space="preserve"> </w:t>
      </w:r>
      <w:r>
        <w:rPr>
          <w:vertAlign w:val="superscript"/>
        </w:rPr>
      </w:r>
      <w:r>
        <w:rPr>
          <w:vertAlign w:val="superscript"/>
        </w:rPr>
      </w:r>
    </w:p>
    <w:p>
      <w:pPr>
        <w:pStyle w:val="1889"/>
        <w:rPr>
          <w:vertAlign w:val="superscript"/>
        </w:rPr>
      </w:pPr>
      <w:r>
        <w:rPr>
          <w:vertAlign w:val="superscript"/>
        </w:rPr>
        <w:t xml:space="preserve">3 </w:t>
      </w:r>
      <w:r>
        <w:rPr>
          <w:position w:val="0"/>
          <w:sz w:val="20"/>
          <w:vertAlign w:val="baseline"/>
        </w:rPr>
        <w:t xml:space="preserve">Минимальные и максимальные температуры скважин указаны в технологическом режиме.</w:t>
      </w:r>
      <w:r>
        <w:rPr>
          <w:vertAlign w:val="superscript"/>
        </w:rPr>
      </w:r>
      <w:r>
        <w:rPr>
          <w:vertAlign w:val="superscript"/>
        </w:rPr>
      </w:r>
    </w:p>
    <w:p>
      <w:pPr>
        <w:pStyle w:val="1889"/>
        <w:rPr>
          <w:highlight w:val="none"/>
          <w:shd w:val="clear" w:color="auto" w:fill="auto"/>
        </w:rPr>
      </w:pPr>
      <w:r>
        <w:rPr>
          <w:sz w:val="20"/>
          <w:shd w:val="clear" w:color="auto" w:fill="auto"/>
          <w:vertAlign w:val="superscript"/>
        </w:rPr>
        <w:t xml:space="preserve">4 </w:t>
      </w:r>
      <w:r>
        <w:rPr>
          <w:position w:val="0"/>
          <w:sz w:val="20"/>
          <w:shd w:val="clear" w:color="auto" w:fill="auto"/>
          <w:vertAlign w:val="baseline"/>
        </w:rPr>
        <w:t xml:space="preserve">Минимальные и максимальные расходы пластового флюида скважин указаны в технологическом режиме.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rPr>
          <w:highlight w:val="none"/>
          <w:shd w:val="clear" w:color="auto" w:fill="auto"/>
        </w:rPr>
      </w:pPr>
      <w:r>
        <w:rPr>
          <w:sz w:val="20"/>
          <w:shd w:val="clear" w:color="auto" w:fill="auto"/>
          <w:vertAlign w:val="superscript"/>
        </w:rPr>
        <w:t xml:space="preserve">5 </w:t>
      </w:r>
      <w:r>
        <w:rPr>
          <w:position w:val="0"/>
          <w:sz w:val="20"/>
          <w:shd w:val="clear" w:color="auto" w:fill="auto"/>
          <w:vertAlign w:val="baseline"/>
        </w:rPr>
        <w:t xml:space="preserve">Согласно РЭ КРАУ1.456.001-06РЭ пределы приведённой погрешности измерения давления: +-(0,02+0,5(P/Pmax)%.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sectPr>
          <w:headerReference w:type="default" r:id="rId16"/>
          <w:headerReference w:type="first" r:id="rId17"/>
          <w:footerReference w:type="default" r:id="rId47"/>
          <w:footerReference w:type="first" r:id="rId48"/>
          <w:footnotePr/>
          <w:endnotePr/>
          <w:type w:val="nextPage"/>
          <w:pgSz w:w="11906" w:h="16838" w:orient="portrait"/>
          <w:pgMar w:top="1134" w:right="851" w:bottom="1134" w:left="1701" w:header="567" w:footer="567" w:gutter="0"/>
          <w:cols w:num="1" w:sep="0" w:space="708" w:equalWidth="1"/>
          <w:docGrid w:linePitch="360"/>
          <w:titlePg/>
        </w:sectPr>
      </w:pPr>
      <w:r>
        <w:br w:type="page" w:clear="all"/>
      </w:r>
      <w:r/>
    </w:p>
    <w:p>
      <w:pPr>
        <w:pStyle w:val="2168"/>
        <w:ind w:firstLine="709"/>
        <w:spacing w:before="0" w:after="0" w:line="360" w:lineRule="auto"/>
      </w:pPr>
      <w:r>
        <w:rPr>
          <w:rStyle w:val="1940"/>
          <w:shd w:val="clear" w:color="auto" w:fill="auto"/>
        </w:rPr>
        <w:t xml:space="preserve">5 КОНТРОЛЬ ТЕХНОЛОГИЧЕСКОГО ПРОЦЕССА</w:t>
      </w:r>
      <w:r/>
    </w:p>
    <w:p>
      <w:pPr>
        <w:pStyle w:val="1889"/>
        <w:ind w:firstLine="709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Аналитический и автоматический контроль для данной стадии технологического процесса не осуществляется. Перечень блокировок и сигнализации представлен в таблице 5.1.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ind w:firstLine="709"/>
        <w:spacing w:line="235" w:lineRule="auto"/>
        <w:rPr>
          <w:sz w:val="24"/>
          <w:szCs w:val="24"/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</w:r>
      <w:r>
        <w:rPr>
          <w:sz w:val="24"/>
          <w:szCs w:val="24"/>
          <w:highlight w:val="none"/>
          <w:shd w:val="clear" w:color="auto" w:fill="auto"/>
        </w:rPr>
      </w:r>
      <w:r>
        <w:rPr>
          <w:sz w:val="24"/>
          <w:szCs w:val="24"/>
          <w:highlight w:val="none"/>
          <w:shd w:val="clear" w:color="auto" w:fill="auto"/>
        </w:rPr>
      </w:r>
    </w:p>
    <w:p>
      <w:pPr>
        <w:pStyle w:val="1889"/>
        <w:ind w:firstLine="709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Таблица № 5.1– Перечень блокировок и сигнализации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tbl>
      <w:tblPr>
        <w:tblW w:w="13997" w:type="dxa"/>
        <w:jc w:val="center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731"/>
        <w:gridCol w:w="2092"/>
        <w:gridCol w:w="1844"/>
        <w:gridCol w:w="851"/>
        <w:gridCol w:w="991"/>
        <w:gridCol w:w="852"/>
        <w:gridCol w:w="851"/>
        <w:gridCol w:w="851"/>
        <w:gridCol w:w="886"/>
        <w:gridCol w:w="3046"/>
      </w:tblGrid>
      <w:tr>
        <w:tblPrEx/>
        <w:trPr>
          <w:cantSplit/>
          <w:trHeight w:val="20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Наименование параметра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Наименование оборудования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Критический параметр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Величина устанавливаемого предела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03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Блокировка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7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Операции по отключению, включению, переключению и другому воздействию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Мин.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Макс.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Мин.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Макс.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Мин.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Макс.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0" w:after="0"/>
              <w:rPr>
                <w:b w:val="0"/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</w:r>
            <w:r>
              <w:rPr>
                <w:b w:val="0"/>
                <w:highlight w:val="none"/>
                <w:shd w:val="clear" w:color="auto" w:fill="auto"/>
              </w:rPr>
            </w:r>
            <w:r>
              <w:rPr>
                <w:b w:val="0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5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6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7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8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9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hd w:val="clear" w:color="auto" w:fill="auto"/>
              </w:rPr>
              <w:t xml:space="preserve">10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10"/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995" w:type="dxa"/>
            <w:vAlign w:val="center"/>
            <w:textDirection w:val="lrTb"/>
            <w:noWrap w:val="false"/>
          </w:tcPr>
          <w:p>
            <w:pPr>
              <w:pStyle w:val="2023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Cs/>
                <w:sz w:val="24"/>
                <w:szCs w:val="20"/>
                <w:shd w:val="clear" w:color="auto" w:fill="auto"/>
              </w:rPr>
              <w:t xml:space="preserve">КГС №1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Давление газа, МПа</w:t>
            </w:r>
            <w:r>
              <w:rPr>
                <w:bCs/>
                <w:szCs w:val="22"/>
                <w:shd w:val="clear" w:color="auto" w:fill="auto"/>
              </w:rPr>
              <w:t xml:space="preserve">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Температура газа,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</w:t>
            </w:r>
            <w:r>
              <w:rPr>
                <w:bCs/>
                <w:szCs w:val="22"/>
                <w:shd w:val="clear" w:color="auto" w:fill="auto"/>
              </w:rPr>
              <w:t xml:space="preserve">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после клапана-регулятора,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 (11)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Т</w:t>
            </w:r>
            <w:r>
              <w:rPr>
                <w:b w:val="0"/>
                <w:bCs w:val="0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1889"/>
              <w:ind w:left="-57" w:right="-113" w:firstLine="0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ст. м</w:t>
            </w:r>
            <w:r>
              <w:rPr>
                <w:rFonts w:eastAsia="Times New Roman" w:cs="Times New Roman"/>
                <w:sz w:val="20"/>
                <w:szCs w:val="20"/>
                <w:shd w:val="clear" w:color="auto" w:fill="auto"/>
                <w:vertAlign w:val="superscript"/>
              </w:rPr>
              <w:t xml:space="preserve">3</w:t>
            </w: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/ч</w:t>
            </w:r>
            <w:r>
              <w:rPr>
                <w:rFonts w:eastAsia="Times New Roman" w:cs="Times New Roman"/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метанола,  </w:t>
            </w:r>
            <w:r>
              <w:rPr>
                <w:szCs w:val="22"/>
                <w:shd w:val="clear" w:color="auto" w:fill="auto"/>
              </w:rPr>
              <w:t xml:space="preserve">МПа,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Рmin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bCs w:val="0"/>
                <w:shd w:val="clear" w:color="auto" w:fill="auto"/>
              </w:rPr>
              <w:br w:type="textWrapping" w:clear="all"/>
            </w:r>
            <w:r>
              <w:rPr>
                <w:b w:val="0"/>
                <w:bCs w:val="0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Рmax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метанола, кг/час,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кг/ч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коллекторе,  </w:t>
            </w:r>
            <w:r>
              <w:rPr>
                <w:szCs w:val="22"/>
                <w:shd w:val="clear" w:color="auto" w:fill="auto"/>
              </w:rPr>
              <w:t xml:space="preserve">МПа, (9)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Метран-150 TG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(10)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10"/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995" w:type="dxa"/>
            <w:vAlign w:val="center"/>
            <w:textDirection w:val="lrTb"/>
            <w:noWrap w:val="false"/>
          </w:tcPr>
          <w:p>
            <w:pPr>
              <w:pStyle w:val="2023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Cs/>
                <w:sz w:val="24"/>
                <w:szCs w:val="20"/>
                <w:shd w:val="clear" w:color="auto" w:fill="auto"/>
              </w:rPr>
              <w:t xml:space="preserve">КГС №2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Давление газа, МПа</w:t>
            </w:r>
            <w:r>
              <w:rPr>
                <w:bCs/>
                <w:szCs w:val="22"/>
                <w:shd w:val="clear" w:color="auto" w:fill="auto"/>
              </w:rPr>
              <w:t xml:space="preserve">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86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Температура газа,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</w:t>
            </w:r>
            <w:r>
              <w:rPr>
                <w:bCs/>
                <w:szCs w:val="22"/>
                <w:shd w:val="clear" w:color="auto" w:fill="auto"/>
              </w:rPr>
              <w:t xml:space="preserve">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после клапана-регулятора,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 (11)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Т</w:t>
            </w:r>
            <w:r>
              <w:rPr>
                <w:b w:val="0"/>
                <w:bCs w:val="0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1889"/>
              <w:ind w:left="-57" w:right="-113" w:firstLine="0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ст. м</w:t>
            </w:r>
            <w:r>
              <w:rPr>
                <w:rFonts w:eastAsia="Times New Roman" w:cs="Times New Roman"/>
                <w:sz w:val="20"/>
                <w:szCs w:val="20"/>
                <w:shd w:val="clear" w:color="auto" w:fill="auto"/>
                <w:vertAlign w:val="superscript"/>
              </w:rPr>
              <w:t xml:space="preserve">3</w:t>
            </w: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/ч</w:t>
            </w:r>
            <w:r>
              <w:rPr>
                <w:rFonts w:eastAsia="Times New Roman" w:cs="Times New Roman"/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метанола,  </w:t>
            </w:r>
            <w:r>
              <w:rPr>
                <w:szCs w:val="22"/>
                <w:shd w:val="clear" w:color="auto" w:fill="auto"/>
              </w:rPr>
              <w:t xml:space="preserve">МПа,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Рmin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bCs w:val="0"/>
                <w:shd w:val="clear" w:color="auto" w:fill="auto"/>
              </w:rPr>
              <w:br w:type="textWrapping" w:clear="all"/>
            </w:r>
            <w:r>
              <w:rPr>
                <w:b w:val="0"/>
                <w:bCs w:val="0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Рmax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метанола, кг/час,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кг/ч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коллекторе,  </w:t>
            </w:r>
            <w:r>
              <w:rPr>
                <w:szCs w:val="22"/>
                <w:shd w:val="clear" w:color="auto" w:fill="auto"/>
              </w:rPr>
              <w:t xml:space="preserve">МПа, (9)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Метран-150 TG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(10)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10"/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995" w:type="dxa"/>
            <w:vAlign w:val="center"/>
            <w:textDirection w:val="lrTb"/>
            <w:noWrap w:val="false"/>
          </w:tcPr>
          <w:p>
            <w:pPr>
              <w:pStyle w:val="2023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Cs/>
                <w:sz w:val="24"/>
                <w:szCs w:val="20"/>
                <w:shd w:val="clear" w:color="auto" w:fill="auto"/>
              </w:rPr>
              <w:t xml:space="preserve">КГС №3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Давление газа, МПа</w:t>
            </w:r>
            <w:r>
              <w:rPr>
                <w:bCs/>
                <w:szCs w:val="22"/>
                <w:shd w:val="clear" w:color="auto" w:fill="auto"/>
              </w:rPr>
              <w:t xml:space="preserve">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Температура газа,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</w:t>
            </w:r>
            <w:r>
              <w:rPr>
                <w:bCs/>
                <w:szCs w:val="22"/>
                <w:shd w:val="clear" w:color="auto" w:fill="auto"/>
              </w:rPr>
              <w:t xml:space="preserve">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после клапана-регулятора,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 (11)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Т</w:t>
            </w:r>
            <w:r>
              <w:rPr>
                <w:b w:val="0"/>
                <w:bCs w:val="0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1889"/>
              <w:ind w:left="-57" w:right="-113" w:firstLine="0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ст. м</w:t>
            </w:r>
            <w:r>
              <w:rPr>
                <w:rFonts w:eastAsia="Times New Roman" w:cs="Times New Roman"/>
                <w:sz w:val="20"/>
                <w:szCs w:val="20"/>
                <w:shd w:val="clear" w:color="auto" w:fill="auto"/>
                <w:vertAlign w:val="superscript"/>
              </w:rPr>
              <w:t xml:space="preserve">3</w:t>
            </w: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/ч</w:t>
            </w:r>
            <w:r>
              <w:rPr>
                <w:rFonts w:eastAsia="Times New Roman" w:cs="Times New Roman"/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метанола,  </w:t>
            </w:r>
            <w:r>
              <w:rPr>
                <w:szCs w:val="22"/>
                <w:shd w:val="clear" w:color="auto" w:fill="auto"/>
              </w:rPr>
              <w:t xml:space="preserve">МПа,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Рmin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bCs w:val="0"/>
                <w:shd w:val="clear" w:color="auto" w:fill="auto"/>
              </w:rPr>
              <w:br w:type="textWrapping" w:clear="all"/>
            </w:r>
            <w:r>
              <w:rPr>
                <w:b w:val="0"/>
                <w:bCs w:val="0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Рmax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метанола, кг/час,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кг/ч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коллекторе,  </w:t>
            </w:r>
            <w:r>
              <w:rPr>
                <w:szCs w:val="22"/>
                <w:shd w:val="clear" w:color="auto" w:fill="auto"/>
              </w:rPr>
              <w:t xml:space="preserve">МПа, (9)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Метран-150 TG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/>
            <w:r/>
          </w:p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(10)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1889"/>
              <w:jc w:val="center"/>
              <w:spacing w:line="360" w:lineRule="auto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10"/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995" w:type="dxa"/>
            <w:vAlign w:val="center"/>
            <w:textDirection w:val="lrTb"/>
            <w:noWrap w:val="false"/>
          </w:tcPr>
          <w:p>
            <w:pPr>
              <w:pStyle w:val="2023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Cs/>
                <w:sz w:val="24"/>
                <w:szCs w:val="20"/>
                <w:shd w:val="clear" w:color="auto" w:fill="auto"/>
              </w:rPr>
              <w:t xml:space="preserve">КГС №4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Давление газа, МПа</w:t>
            </w:r>
            <w:r>
              <w:rPr>
                <w:bCs/>
                <w:szCs w:val="22"/>
                <w:shd w:val="clear" w:color="auto" w:fill="auto"/>
              </w:rPr>
              <w:t xml:space="preserve">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Температура газа,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</w:t>
            </w:r>
            <w:r>
              <w:rPr>
                <w:bCs/>
                <w:szCs w:val="22"/>
                <w:shd w:val="clear" w:color="auto" w:fill="auto"/>
              </w:rPr>
              <w:t xml:space="preserve">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после клапана-регулятора,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 (11)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Т</w:t>
            </w:r>
            <w:r>
              <w:rPr>
                <w:b w:val="0"/>
                <w:bCs w:val="0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1889"/>
              <w:ind w:left="-57" w:right="-113" w:firstLine="0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ст. м</w:t>
            </w:r>
            <w:r>
              <w:rPr>
                <w:rFonts w:eastAsia="Times New Roman" w:cs="Times New Roman"/>
                <w:sz w:val="20"/>
                <w:szCs w:val="20"/>
                <w:shd w:val="clear" w:color="auto" w:fill="auto"/>
                <w:vertAlign w:val="superscript"/>
              </w:rPr>
              <w:t xml:space="preserve">3</w:t>
            </w: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/ч</w:t>
            </w:r>
            <w:r>
              <w:rPr>
                <w:rFonts w:eastAsia="Times New Roman" w:cs="Times New Roman"/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метанола,  </w:t>
            </w:r>
            <w:r>
              <w:rPr>
                <w:szCs w:val="22"/>
                <w:shd w:val="clear" w:color="auto" w:fill="auto"/>
              </w:rPr>
              <w:t xml:space="preserve">МПа,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Рmin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bCs w:val="0"/>
                <w:shd w:val="clear" w:color="auto" w:fill="auto"/>
              </w:rPr>
              <w:br w:type="textWrapping" w:clear="all"/>
            </w:r>
            <w:r>
              <w:rPr>
                <w:b w:val="0"/>
                <w:bCs w:val="0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Рmax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метанола, кг/час,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кг/ч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коллекторе,  </w:t>
            </w:r>
            <w:r>
              <w:rPr>
                <w:szCs w:val="22"/>
                <w:shd w:val="clear" w:color="auto" w:fill="auto"/>
              </w:rPr>
              <w:t xml:space="preserve">МПа, (9)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Метран-150 TG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(10)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10"/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995" w:type="dxa"/>
            <w:vAlign w:val="center"/>
            <w:textDirection w:val="lrTb"/>
            <w:noWrap w:val="false"/>
          </w:tcPr>
          <w:p>
            <w:pPr>
              <w:pStyle w:val="2023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Cs/>
                <w:sz w:val="24"/>
                <w:szCs w:val="20"/>
                <w:shd w:val="clear" w:color="auto" w:fill="auto"/>
              </w:rPr>
              <w:t xml:space="preserve">КГС №5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Давление газа, МПа</w:t>
            </w:r>
            <w:r>
              <w:rPr>
                <w:bCs/>
                <w:szCs w:val="22"/>
                <w:shd w:val="clear" w:color="auto" w:fill="auto"/>
              </w:rPr>
              <w:t xml:space="preserve">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Температура газа,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</w:t>
            </w:r>
            <w:r>
              <w:rPr>
                <w:bCs/>
                <w:szCs w:val="22"/>
                <w:shd w:val="clear" w:color="auto" w:fill="auto"/>
              </w:rPr>
              <w:t xml:space="preserve">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после клапана-регулятора,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 (11)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Т</w:t>
            </w:r>
            <w:r>
              <w:rPr>
                <w:b w:val="0"/>
                <w:bCs w:val="0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1889"/>
              <w:ind w:left="-57" w:right="-113" w:firstLine="0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ст. м</w:t>
            </w:r>
            <w:r>
              <w:rPr>
                <w:rFonts w:eastAsia="Times New Roman" w:cs="Times New Roman"/>
                <w:sz w:val="20"/>
                <w:szCs w:val="20"/>
                <w:shd w:val="clear" w:color="auto" w:fill="auto"/>
                <w:vertAlign w:val="superscript"/>
              </w:rPr>
              <w:t xml:space="preserve">3</w:t>
            </w: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/ч</w:t>
            </w:r>
            <w:r>
              <w:rPr>
                <w:rFonts w:eastAsia="Times New Roman" w:cs="Times New Roman"/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метанола,  </w:t>
            </w:r>
            <w:r>
              <w:rPr>
                <w:szCs w:val="22"/>
                <w:shd w:val="clear" w:color="auto" w:fill="auto"/>
              </w:rPr>
              <w:t xml:space="preserve">МПа,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Рmin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bCs w:val="0"/>
                <w:shd w:val="clear" w:color="auto" w:fill="auto"/>
              </w:rPr>
              <w:br w:type="textWrapping" w:clear="all"/>
            </w:r>
            <w:r>
              <w:rPr>
                <w:b w:val="0"/>
                <w:bCs w:val="0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Рmax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метанола, кг/час,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кг/ч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коллекторе,  </w:t>
            </w:r>
            <w:r>
              <w:rPr>
                <w:szCs w:val="22"/>
                <w:shd w:val="clear" w:color="auto" w:fill="auto"/>
              </w:rPr>
              <w:t xml:space="preserve">МПа, (9)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Метран-150 TG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(10)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10"/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995" w:type="dxa"/>
            <w:vAlign w:val="center"/>
            <w:textDirection w:val="lrTb"/>
            <w:noWrap w:val="false"/>
          </w:tcPr>
          <w:p>
            <w:pPr>
              <w:pStyle w:val="2023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Cs/>
                <w:sz w:val="24"/>
                <w:szCs w:val="20"/>
                <w:shd w:val="clear" w:color="auto" w:fill="auto"/>
              </w:rPr>
              <w:t xml:space="preserve">КГС №6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Давление газа, МПа</w:t>
            </w:r>
            <w:r>
              <w:rPr>
                <w:bCs/>
                <w:szCs w:val="22"/>
                <w:shd w:val="clear" w:color="auto" w:fill="auto"/>
              </w:rPr>
              <w:t xml:space="preserve">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Температура газа,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</w:t>
            </w:r>
            <w:r>
              <w:rPr>
                <w:bCs/>
                <w:szCs w:val="22"/>
                <w:shd w:val="clear" w:color="auto" w:fill="auto"/>
              </w:rPr>
              <w:t xml:space="preserve">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после клапана-регулятора,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 (11)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Т</w:t>
            </w:r>
            <w:r>
              <w:rPr>
                <w:b w:val="0"/>
                <w:bCs w:val="0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1889"/>
              <w:ind w:left="-57" w:right="-113" w:firstLine="0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ст. м</w:t>
            </w:r>
            <w:r>
              <w:rPr>
                <w:rFonts w:eastAsia="Times New Roman" w:cs="Times New Roman"/>
                <w:sz w:val="20"/>
                <w:szCs w:val="20"/>
                <w:shd w:val="clear" w:color="auto" w:fill="auto"/>
                <w:vertAlign w:val="superscript"/>
              </w:rPr>
              <w:t xml:space="preserve">3</w:t>
            </w: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/ч</w:t>
            </w:r>
            <w:r>
              <w:rPr>
                <w:rFonts w:eastAsia="Times New Roman" w:cs="Times New Roman"/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метанола,  </w:t>
            </w:r>
            <w:r>
              <w:rPr>
                <w:szCs w:val="22"/>
                <w:shd w:val="clear" w:color="auto" w:fill="auto"/>
              </w:rPr>
              <w:t xml:space="preserve">МПа,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Рmin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bCs w:val="0"/>
                <w:shd w:val="clear" w:color="auto" w:fill="auto"/>
              </w:rPr>
              <w:br w:type="textWrapping" w:clear="all"/>
            </w:r>
            <w:r>
              <w:rPr>
                <w:b w:val="0"/>
                <w:bCs w:val="0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Рmax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метанола, кг/час,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кг/ч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коллекторе,  </w:t>
            </w:r>
            <w:r>
              <w:rPr>
                <w:szCs w:val="22"/>
                <w:shd w:val="clear" w:color="auto" w:fill="auto"/>
              </w:rPr>
              <w:t xml:space="preserve">МПа, (9)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Метран-150 TG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(10)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10"/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995" w:type="dxa"/>
            <w:vAlign w:val="center"/>
            <w:textDirection w:val="lrTb"/>
            <w:noWrap w:val="false"/>
          </w:tcPr>
          <w:p>
            <w:pPr>
              <w:pStyle w:val="2023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Cs/>
                <w:sz w:val="24"/>
                <w:szCs w:val="20"/>
                <w:shd w:val="clear" w:color="auto" w:fill="auto"/>
              </w:rPr>
              <w:t xml:space="preserve">КГС №7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Давление газа, МПа</w:t>
            </w:r>
            <w:r>
              <w:rPr>
                <w:bCs/>
                <w:szCs w:val="22"/>
                <w:shd w:val="clear" w:color="auto" w:fill="auto"/>
              </w:rPr>
              <w:t xml:space="preserve">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1886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Температура газа,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</w:t>
            </w:r>
            <w:r>
              <w:rPr>
                <w:bCs/>
                <w:szCs w:val="22"/>
                <w:shd w:val="clear" w:color="auto" w:fill="auto"/>
              </w:rPr>
              <w:t xml:space="preserve">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после клапана-регулятора,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 (11)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Т</w:t>
            </w:r>
            <w:r>
              <w:rPr>
                <w:b w:val="0"/>
                <w:bCs w:val="0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1889"/>
              <w:ind w:left="-57" w:right="-113" w:firstLine="0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ст. м</w:t>
            </w:r>
            <w:r>
              <w:rPr>
                <w:rFonts w:eastAsia="Times New Roman" w:cs="Times New Roman"/>
                <w:sz w:val="20"/>
                <w:szCs w:val="20"/>
                <w:shd w:val="clear" w:color="auto" w:fill="auto"/>
                <w:vertAlign w:val="superscript"/>
              </w:rPr>
              <w:t xml:space="preserve">3</w:t>
            </w: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/ч</w:t>
            </w:r>
            <w:r>
              <w:rPr>
                <w:rFonts w:eastAsia="Times New Roman" w:cs="Times New Roman"/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метанола,  </w:t>
            </w:r>
            <w:r>
              <w:rPr>
                <w:szCs w:val="22"/>
                <w:shd w:val="clear" w:color="auto" w:fill="auto"/>
              </w:rPr>
              <w:t xml:space="preserve">МПа,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Рmin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bCs w:val="0"/>
                <w:shd w:val="clear" w:color="auto" w:fill="auto"/>
              </w:rPr>
              <w:br w:type="textWrapping" w:clear="all"/>
            </w:r>
            <w:r>
              <w:rPr>
                <w:b w:val="0"/>
                <w:bCs w:val="0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Рmax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метанола, кг/час,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кг/ч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коллекторе,  </w:t>
            </w:r>
            <w:r>
              <w:rPr>
                <w:szCs w:val="22"/>
                <w:shd w:val="clear" w:color="auto" w:fill="auto"/>
              </w:rPr>
              <w:t xml:space="preserve">МПа, (9)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Метран-150 TG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(10)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10"/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995" w:type="dxa"/>
            <w:vAlign w:val="center"/>
            <w:textDirection w:val="lrTb"/>
            <w:noWrap w:val="false"/>
          </w:tcPr>
          <w:p>
            <w:pPr>
              <w:pStyle w:val="2023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Cs/>
                <w:sz w:val="24"/>
                <w:szCs w:val="20"/>
                <w:shd w:val="clear" w:color="auto" w:fill="auto"/>
              </w:rPr>
              <w:t xml:space="preserve">КГС №8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Давление газа, МПа</w:t>
            </w:r>
            <w:r>
              <w:rPr>
                <w:bCs/>
                <w:szCs w:val="22"/>
                <w:shd w:val="clear" w:color="auto" w:fill="auto"/>
              </w:rPr>
              <w:t xml:space="preserve">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Температура газа,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</w:t>
            </w:r>
            <w:r>
              <w:rPr>
                <w:bCs/>
                <w:szCs w:val="22"/>
                <w:shd w:val="clear" w:color="auto" w:fill="auto"/>
              </w:rPr>
              <w:t xml:space="preserve">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после клапана-регулятора,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 (11)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Т</w:t>
            </w:r>
            <w:r>
              <w:rPr>
                <w:b w:val="0"/>
                <w:bCs w:val="0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1889"/>
              <w:ind w:left="-57" w:right="-113" w:firstLine="0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ст. м</w:t>
            </w:r>
            <w:r>
              <w:rPr>
                <w:rFonts w:eastAsia="Times New Roman" w:cs="Times New Roman"/>
                <w:sz w:val="20"/>
                <w:szCs w:val="20"/>
                <w:shd w:val="clear" w:color="auto" w:fill="auto"/>
                <w:vertAlign w:val="superscript"/>
              </w:rPr>
              <w:t xml:space="preserve">3</w:t>
            </w: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/ч</w:t>
            </w:r>
            <w:r>
              <w:rPr>
                <w:rFonts w:eastAsia="Times New Roman" w:cs="Times New Roman"/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метанола,  </w:t>
            </w:r>
            <w:r>
              <w:rPr>
                <w:szCs w:val="22"/>
                <w:shd w:val="clear" w:color="auto" w:fill="auto"/>
              </w:rPr>
              <w:t xml:space="preserve">МПа,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Рmin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bCs w:val="0"/>
                <w:shd w:val="clear" w:color="auto" w:fill="auto"/>
              </w:rPr>
              <w:br w:type="textWrapping" w:clear="all"/>
            </w:r>
            <w:r>
              <w:rPr>
                <w:b w:val="0"/>
                <w:bCs w:val="0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Рmax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метанола, кг/час,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кг/ч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коллекторе,  </w:t>
            </w:r>
            <w:r>
              <w:rPr>
                <w:szCs w:val="22"/>
                <w:shd w:val="clear" w:color="auto" w:fill="auto"/>
              </w:rPr>
              <w:t xml:space="preserve">МПа, (9)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Метран-150 TG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/>
            <w:r/>
          </w:p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(10)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1889"/>
              <w:jc w:val="center"/>
              <w:spacing w:line="360" w:lineRule="auto"/>
              <w:rPr>
                <w:szCs w:val="22"/>
              </w:rPr>
            </w:pPr>
            <w:r>
              <w:rPr>
                <w:szCs w:val="22"/>
              </w:rPr>
            </w:r>
            <w:r>
              <w:rPr>
                <w:szCs w:val="22"/>
              </w:rPr>
            </w:r>
            <w:r>
              <w:rPr>
                <w:szCs w:val="22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10"/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995" w:type="dxa"/>
            <w:vAlign w:val="center"/>
            <w:textDirection w:val="lrTb"/>
            <w:noWrap w:val="false"/>
          </w:tcPr>
          <w:p>
            <w:pPr>
              <w:pStyle w:val="2023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Cs/>
                <w:sz w:val="24"/>
                <w:szCs w:val="20"/>
                <w:shd w:val="clear" w:color="auto" w:fill="auto"/>
              </w:rPr>
              <w:t xml:space="preserve">КГС №9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Давление газа, МПа</w:t>
            </w:r>
            <w:r>
              <w:rPr>
                <w:bCs/>
                <w:szCs w:val="22"/>
                <w:shd w:val="clear" w:color="auto" w:fill="auto"/>
              </w:rPr>
              <w:t xml:space="preserve">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Температура газа,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</w:t>
            </w:r>
            <w:r>
              <w:rPr>
                <w:bCs/>
                <w:szCs w:val="22"/>
                <w:shd w:val="clear" w:color="auto" w:fill="auto"/>
              </w:rPr>
              <w:t xml:space="preserve">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после клапана-регулятора,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 (11)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Т</w:t>
            </w:r>
            <w:r>
              <w:rPr>
                <w:b w:val="0"/>
                <w:bCs w:val="0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1889"/>
              <w:ind w:left="-57" w:right="-113" w:firstLine="0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ст. м</w:t>
            </w:r>
            <w:r>
              <w:rPr>
                <w:rFonts w:eastAsia="Times New Roman" w:cs="Times New Roman"/>
                <w:sz w:val="20"/>
                <w:szCs w:val="20"/>
                <w:shd w:val="clear" w:color="auto" w:fill="auto"/>
                <w:vertAlign w:val="superscript"/>
              </w:rPr>
              <w:t xml:space="preserve">3</w:t>
            </w: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/ч</w:t>
            </w:r>
            <w:r>
              <w:rPr>
                <w:rFonts w:eastAsia="Times New Roman" w:cs="Times New Roman"/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метанола,  </w:t>
            </w:r>
            <w:r>
              <w:rPr>
                <w:szCs w:val="22"/>
                <w:shd w:val="clear" w:color="auto" w:fill="auto"/>
              </w:rPr>
              <w:t xml:space="preserve">МПа,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Рmin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bCs w:val="0"/>
                <w:shd w:val="clear" w:color="auto" w:fill="auto"/>
              </w:rPr>
              <w:br w:type="textWrapping" w:clear="all"/>
            </w:r>
            <w:r>
              <w:rPr>
                <w:b w:val="0"/>
                <w:bCs w:val="0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Рmax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метанола, кг/час,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кг/ч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коллекторе,  </w:t>
            </w:r>
            <w:r>
              <w:rPr>
                <w:szCs w:val="22"/>
                <w:shd w:val="clear" w:color="auto" w:fill="auto"/>
              </w:rPr>
              <w:t xml:space="preserve">МПа, (9)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Метран-150 TG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(10)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gridSpan w:val="10"/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995" w:type="dxa"/>
            <w:vAlign w:val="center"/>
            <w:textDirection w:val="lrTb"/>
            <w:noWrap w:val="false"/>
          </w:tcPr>
          <w:p>
            <w:pPr>
              <w:pStyle w:val="2023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Cs/>
                <w:sz w:val="24"/>
                <w:szCs w:val="20"/>
                <w:shd w:val="clear" w:color="auto" w:fill="auto"/>
              </w:rPr>
              <w:t xml:space="preserve">КГС №10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Давление газа, МПа</w:t>
            </w:r>
            <w:r>
              <w:rPr>
                <w:bCs/>
                <w:szCs w:val="22"/>
                <w:shd w:val="clear" w:color="auto" w:fill="auto"/>
              </w:rPr>
              <w:t xml:space="preserve">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Температура газа,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</w:t>
            </w:r>
            <w:r>
              <w:rPr>
                <w:bCs/>
                <w:szCs w:val="22"/>
                <w:shd w:val="clear" w:color="auto" w:fill="auto"/>
              </w:rPr>
              <w:t xml:space="preserve">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газа после клапана-регулятора,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 (11)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Т</w:t>
            </w:r>
            <w:r>
              <w:rPr>
                <w:b w:val="0"/>
                <w:bCs w:val="0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2042"/>
              <w:jc w:val="left"/>
              <w:spacing w:before="0" w:after="0"/>
              <w:rPr>
                <w:szCs w:val="22"/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  <w:r>
              <w:rPr>
                <w:szCs w:val="22"/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пластового флюида (min/max</w:t>
            </w:r>
            <w:r>
              <w:rPr>
                <w:shd w:val="clear" w:color="auto" w:fill="auto"/>
                <w:vertAlign w:val="superscript"/>
              </w:rPr>
              <w:t xml:space="preserve">4</w:t>
            </w:r>
            <w:r>
              <w:rPr>
                <w:shd w:val="clear" w:color="auto" w:fill="auto"/>
              </w:rPr>
              <w:t xml:space="preserve">), (5)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  <w:lang w:val="en-US"/>
              </w:rPr>
              <w:t xml:space="preserve">Гиперфлоу -3ПМ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1889"/>
              <w:ind w:left="-57" w:right="-113" w:firstLine="0"/>
              <w:jc w:val="center"/>
              <w:rPr>
                <w:highlight w:val="none"/>
                <w:shd w:val="clear" w:color="auto" w:fill="auto"/>
              </w:rPr>
            </w:pP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ст. м</w:t>
            </w:r>
            <w:r>
              <w:rPr>
                <w:rFonts w:eastAsia="Times New Roman" w:cs="Times New Roman"/>
                <w:sz w:val="20"/>
                <w:szCs w:val="20"/>
                <w:shd w:val="clear" w:color="auto" w:fill="auto"/>
                <w:vertAlign w:val="superscript"/>
              </w:rPr>
              <w:t xml:space="preserve">3</w:t>
            </w:r>
            <w:r>
              <w:rPr>
                <w:rFonts w:eastAsia="Times New Roman" w:cs="Times New Roman"/>
                <w:sz w:val="20"/>
                <w:shd w:val="clear" w:color="auto" w:fill="auto"/>
              </w:rPr>
              <w:t xml:space="preserve">/ч</w:t>
            </w:r>
            <w:r>
              <w:rPr>
                <w:rFonts w:eastAsia="Times New Roman" w:cs="Times New Roman"/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метанола,  </w:t>
            </w:r>
            <w:r>
              <w:rPr>
                <w:szCs w:val="22"/>
                <w:shd w:val="clear" w:color="auto" w:fill="auto"/>
              </w:rPr>
              <w:t xml:space="preserve">МПа,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bCs w:val="0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Рmin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bCs w:val="0"/>
                <w:shd w:val="clear" w:color="auto" w:fill="auto"/>
              </w:rPr>
              <w:br w:type="textWrapping" w:clear="all"/>
            </w:r>
            <w:r>
              <w:rPr>
                <w:b w:val="0"/>
                <w:bCs w:val="0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bCs w:val="0"/>
                <w:shd w:val="clear" w:color="auto" w:fill="auto"/>
              </w:rPr>
              <w:t xml:space="preserve">´</w:t>
            </w:r>
            <w:r>
              <w:rPr>
                <w:b w:val="0"/>
                <w:bCs w:val="0"/>
                <w:shd w:val="clear" w:color="auto" w:fill="auto"/>
              </w:rPr>
              <w:t xml:space="preserve">Рmax</w:t>
            </w:r>
            <w:r>
              <w:rPr>
                <w:b w:val="0"/>
                <w:bCs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Расход метанола, кг/час, (8)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СПИ-02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кг/ч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Fmin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Fmax</w:t>
            </w:r>
            <w:r>
              <w:rPr>
                <w:b w:val="0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Давление в газосборном коллекторе,  </w:t>
            </w:r>
            <w:r>
              <w:rPr>
                <w:szCs w:val="22"/>
                <w:shd w:val="clear" w:color="auto" w:fill="auto"/>
              </w:rPr>
              <w:t xml:space="preserve">МПа, (9)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Метран-150 TG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0,9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Рmin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b w:val="0"/>
                <w:sz w:val="22"/>
                <w:szCs w:val="22"/>
                <w:shd w:val="clear" w:color="auto" w:fill="auto"/>
              </w:rPr>
              <w:br w:type="textWrapping" w:clear="all"/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Более 1,1</w:t>
            </w:r>
            <w:r>
              <w:rPr>
                <w:rFonts w:ascii="Symbol" w:hAnsi="Symbol" w:eastAsia="Symbol" w:cs="Symbol"/>
                <w:b w:val="0"/>
                <w:sz w:val="22"/>
                <w:szCs w:val="22"/>
                <w:shd w:val="clear" w:color="auto" w:fill="auto"/>
              </w:rPr>
              <w:t xml:space="preserve">´</w:t>
            </w: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Рmax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Pmax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  <w:tr>
        <w:tblPrEx/>
        <w:trPr>
          <w:cantSplit/>
          <w:trHeight w:val="20"/>
        </w:trPr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3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Температура в газосборном коллекторе, </w:t>
            </w:r>
            <w:r>
              <w:rPr>
                <w:rFonts w:ascii="Symbol" w:hAnsi="Symbol" w:eastAsia="Symbol" w:cs="Symbol"/>
                <w:szCs w:val="22"/>
                <w:shd w:val="clear" w:color="auto" w:fill="auto"/>
              </w:rPr>
              <w:t xml:space="preserve">°</w:t>
            </w:r>
            <w:r>
              <w:rPr>
                <w:szCs w:val="22"/>
                <w:shd w:val="clear" w:color="auto" w:fill="auto"/>
              </w:rPr>
              <w:t xml:space="preserve">С, (10)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0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ТСМУ-014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44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Менее 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Тmin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99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Тmax</w:t>
            </w:r>
            <w:r>
              <w:rPr>
                <w:b w:val="0"/>
                <w:szCs w:val="22"/>
                <w:shd w:val="clear" w:color="auto" w:fill="auto"/>
                <w:vertAlign w:val="superscript"/>
              </w:rPr>
              <w:t xml:space="preserve">1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2030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b w:val="0"/>
                <w:sz w:val="22"/>
                <w:szCs w:val="22"/>
                <w:shd w:val="clear" w:color="auto" w:fill="auto"/>
              </w:rPr>
              <w:t xml:space="preserve">Т</w:t>
            </w:r>
            <w:r>
              <w:rPr>
                <w:b w:val="0"/>
                <w:sz w:val="22"/>
                <w:szCs w:val="22"/>
                <w:shd w:val="clear" w:color="auto" w:fill="auto"/>
                <w:vertAlign w:val="subscript"/>
              </w:rPr>
              <w:t xml:space="preserve">гидр</w:t>
            </w:r>
            <w:r>
              <w:rPr>
                <w:b w:val="0"/>
                <w:sz w:val="22"/>
                <w:szCs w:val="22"/>
                <w:shd w:val="clear" w:color="auto" w:fill="auto"/>
                <w:vertAlign w:val="superscript"/>
              </w:rPr>
              <w:t xml:space="preserve">3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86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zCs w:val="22"/>
                <w:shd w:val="clear" w:color="auto" w:fill="auto"/>
              </w:rPr>
              <w:t xml:space="preserve">-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fffff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046" w:type="dxa"/>
            <w:vAlign w:val="center"/>
            <w:textDirection w:val="lrTb"/>
            <w:noWrap w:val="false"/>
          </w:tcPr>
          <w:p>
            <w:pPr>
              <w:pStyle w:val="2042"/>
              <w:jc w:val="left"/>
              <w:spacing w:before="0" w:after="0"/>
              <w:rPr>
                <w:highlight w:val="none"/>
                <w:shd w:val="clear" w:color="auto" w:fill="auto"/>
              </w:rPr>
            </w:pPr>
            <w:r>
              <w:rPr>
                <w:shd w:val="clear" w:color="auto" w:fill="auto"/>
              </w:rPr>
              <w:t xml:space="preserve">Аварийная сигнализация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</w:tr>
    </w:tbl>
    <w:p>
      <w:pPr>
        <w:pStyle w:val="1889"/>
        <w:rPr>
          <w:sz w:val="22"/>
          <w:szCs w:val="24"/>
          <w:highlight w:val="none"/>
          <w:shd w:val="clear" w:color="auto" w:fill="auto"/>
        </w:rPr>
      </w:pPr>
      <w:r>
        <w:rPr>
          <w:sz w:val="22"/>
          <w:szCs w:val="24"/>
          <w:shd w:val="clear" w:color="auto" w:fill="auto"/>
        </w:rPr>
      </w:r>
      <w:r>
        <w:rPr>
          <w:sz w:val="22"/>
          <w:szCs w:val="24"/>
          <w:highlight w:val="none"/>
          <w:shd w:val="clear" w:color="auto" w:fill="auto"/>
        </w:rPr>
      </w:r>
      <w:r>
        <w:rPr>
          <w:sz w:val="22"/>
          <w:szCs w:val="24"/>
          <w:highlight w:val="none"/>
          <w:shd w:val="clear" w:color="auto" w:fill="auto"/>
        </w:rPr>
      </w:r>
    </w:p>
    <w:p>
      <w:pPr>
        <w:pStyle w:val="1889"/>
        <w:ind w:firstLine="709"/>
        <w:rPr>
          <w:sz w:val="22"/>
          <w:szCs w:val="24"/>
          <w:highlight w:val="none"/>
          <w:shd w:val="clear" w:color="auto" w:fill="auto"/>
        </w:rPr>
      </w:pPr>
      <w:r>
        <w:rPr>
          <w:sz w:val="22"/>
          <w:szCs w:val="24"/>
          <w:shd w:val="clear" w:color="auto" w:fill="auto"/>
        </w:rPr>
      </w:r>
      <w:r>
        <w:rPr>
          <w:sz w:val="22"/>
          <w:szCs w:val="24"/>
          <w:highlight w:val="none"/>
          <w:shd w:val="clear" w:color="auto" w:fill="auto"/>
        </w:rPr>
      </w:r>
      <w:r>
        <w:rPr>
          <w:sz w:val="22"/>
          <w:szCs w:val="24"/>
          <w:highlight w:val="none"/>
          <w:shd w:val="clear" w:color="auto" w:fill="auto"/>
        </w:rPr>
      </w:r>
    </w:p>
    <w:p>
      <w:pPr>
        <w:pStyle w:val="1889"/>
        <w:ind w:firstLine="0"/>
        <w:rPr>
          <w:highlight w:val="none"/>
          <w:shd w:val="clear" w:color="auto" w:fill="auto"/>
        </w:rPr>
      </w:pPr>
      <w:r>
        <w:rPr>
          <w:sz w:val="22"/>
          <w:szCs w:val="24"/>
          <w:shd w:val="clear" w:color="auto" w:fill="auto"/>
        </w:rPr>
        <w:t xml:space="preserve">_______________________________________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ind w:firstLine="0"/>
        <w:rPr>
          <w:sz w:val="22"/>
          <w:szCs w:val="24"/>
          <w:highlight w:val="none"/>
          <w:shd w:val="clear" w:color="auto" w:fill="auto"/>
        </w:rPr>
      </w:pPr>
      <w:r>
        <w:rPr>
          <w:sz w:val="22"/>
          <w:szCs w:val="24"/>
          <w:shd w:val="clear" w:color="auto" w:fill="auto"/>
        </w:rPr>
      </w:r>
      <w:r>
        <w:rPr>
          <w:sz w:val="22"/>
          <w:szCs w:val="24"/>
          <w:highlight w:val="none"/>
          <w:shd w:val="clear" w:color="auto" w:fill="auto"/>
        </w:rPr>
      </w:r>
      <w:r>
        <w:rPr>
          <w:sz w:val="22"/>
          <w:szCs w:val="24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highlight w:val="none"/>
          <w:shd w:val="clear" w:color="auto" w:fill="auto"/>
        </w:rPr>
      </w:pPr>
      <w:r>
        <w:rPr>
          <w:b w:val="0"/>
          <w:sz w:val="22"/>
          <w:szCs w:val="22"/>
          <w:shd w:val="clear" w:color="auto" w:fill="auto"/>
          <w:vertAlign w:val="superscript"/>
        </w:rPr>
        <w:t xml:space="preserve">1 </w:t>
      </w:r>
      <w:r>
        <w:rPr>
          <w:b w:val="0"/>
          <w:position w:val="0"/>
          <w:sz w:val="22"/>
          <w:szCs w:val="22"/>
          <w:shd w:val="clear" w:color="auto" w:fill="auto"/>
          <w:vertAlign w:val="baseline"/>
        </w:rPr>
        <w:t xml:space="preserve">Допускаемые пределы параметров устанавливаются исходя из утвержденного технологического режима работы скважин на текущий квартал.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position w:val="0"/>
          <w:sz w:val="22"/>
          <w:szCs w:val="22"/>
          <w:highlight w:val="none"/>
          <w:shd w:val="clear" w:color="auto" w:fill="auto"/>
          <w:vertAlign w:val="baseline"/>
        </w:rPr>
      </w:pPr>
      <w:r>
        <w:rPr>
          <w:b w:val="0"/>
          <w:position w:val="0"/>
          <w:sz w:val="22"/>
          <w:szCs w:val="22"/>
          <w:shd w:val="clear" w:color="auto" w:fill="auto"/>
          <w:vertAlign w:val="baseline"/>
        </w:rPr>
      </w:r>
      <w:r>
        <w:rPr>
          <w:b w:val="0"/>
          <w:position w:val="0"/>
          <w:sz w:val="22"/>
          <w:szCs w:val="22"/>
          <w:highlight w:val="none"/>
          <w:shd w:val="clear" w:color="auto" w:fill="auto"/>
          <w:vertAlign w:val="baseline"/>
        </w:rPr>
      </w:r>
      <w:r>
        <w:rPr>
          <w:b w:val="0"/>
          <w:position w:val="0"/>
          <w:sz w:val="22"/>
          <w:szCs w:val="22"/>
          <w:highlight w:val="none"/>
          <w:shd w:val="clear" w:color="auto" w:fill="auto"/>
          <w:vertAlign w:val="baseline"/>
        </w:rPr>
      </w:r>
    </w:p>
    <w:p>
      <w:pPr>
        <w:pStyle w:val="2030"/>
        <w:jc w:val="left"/>
        <w:spacing w:before="0" w:after="0"/>
        <w:rPr>
          <w:highlight w:val="none"/>
          <w:shd w:val="clear" w:color="auto" w:fill="auto"/>
        </w:rPr>
      </w:pPr>
      <w:r>
        <w:rPr>
          <w:b w:val="0"/>
          <w:sz w:val="22"/>
          <w:szCs w:val="22"/>
          <w:shd w:val="clear" w:color="auto" w:fill="auto"/>
          <w:vertAlign w:val="superscript"/>
        </w:rPr>
        <w:t xml:space="preserve">2 </w:t>
      </w:r>
      <w:r>
        <w:rPr>
          <w:b w:val="0"/>
          <w:position w:val="0"/>
          <w:sz w:val="22"/>
          <w:szCs w:val="22"/>
          <w:shd w:val="clear" w:color="auto" w:fill="auto"/>
          <w:vertAlign w:val="baseline"/>
        </w:rPr>
        <w:t xml:space="preserve">Автоматическое закрытие скважины клапаном-отсекателем К-302 при аварийном повышении или понижении давления в манифольде скважины.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ind w:firstLine="0"/>
        <w:rPr>
          <w:highlight w:val="none"/>
          <w:shd w:val="clear" w:color="auto" w:fill="auto"/>
        </w:rPr>
      </w:pPr>
      <w:r>
        <w:rPr>
          <w:b w:val="0"/>
          <w:position w:val="0"/>
          <w:sz w:val="22"/>
          <w:szCs w:val="24"/>
          <w:shd w:val="clear" w:color="auto" w:fill="auto"/>
          <w:vertAlign w:val="baseline"/>
        </w:rPr>
        <w:t xml:space="preserve">Давление срабатывания клапана-отсекателя устанавливается (минимальное значение блокировки «</w:t>
      </w:r>
      <w:r>
        <w:rPr>
          <w:b w:val="0"/>
          <w:position w:val="0"/>
          <w:sz w:val="22"/>
          <w:szCs w:val="22"/>
          <w:shd w:val="clear" w:color="auto" w:fill="auto"/>
          <w:vertAlign w:val="baseline"/>
        </w:rPr>
        <w:t xml:space="preserve">Pmin</w:t>
      </w:r>
      <w:r>
        <w:rPr>
          <w:b w:val="0"/>
          <w:sz w:val="22"/>
          <w:szCs w:val="22"/>
          <w:shd w:val="clear" w:color="auto" w:fill="auto"/>
          <w:vertAlign w:val="superscript"/>
        </w:rPr>
        <w:t xml:space="preserve">1</w:t>
      </w:r>
      <w:r>
        <w:rPr>
          <w:b w:val="0"/>
          <w:position w:val="0"/>
          <w:sz w:val="22"/>
          <w:szCs w:val="22"/>
          <w:shd w:val="clear" w:color="auto" w:fill="auto"/>
          <w:vertAlign w:val="baseline"/>
        </w:rPr>
        <w:t xml:space="preserve"> - 3 МПа», максимальное значение блокировки «Pmax</w:t>
      </w:r>
      <w:r>
        <w:rPr>
          <w:b w:val="0"/>
          <w:sz w:val="22"/>
          <w:szCs w:val="22"/>
          <w:shd w:val="clear" w:color="auto" w:fill="auto"/>
          <w:vertAlign w:val="superscript"/>
        </w:rPr>
        <w:t xml:space="preserve">1</w:t>
      </w:r>
      <w:r>
        <w:rPr>
          <w:b w:val="0"/>
          <w:position w:val="0"/>
          <w:sz w:val="22"/>
          <w:szCs w:val="22"/>
          <w:shd w:val="clear" w:color="auto" w:fill="auto"/>
          <w:vertAlign w:val="baseline"/>
        </w:rPr>
        <w:t xml:space="preserve"> </w:t>
      </w:r>
      <w:r>
        <w:rPr>
          <w:b/>
          <w:bCs/>
          <w:position w:val="0"/>
          <w:sz w:val="22"/>
          <w:szCs w:val="22"/>
          <w:shd w:val="clear" w:color="auto" w:fill="auto"/>
          <w:vertAlign w:val="baseline"/>
        </w:rPr>
        <w:t xml:space="preserve">+</w:t>
      </w:r>
      <w:r>
        <w:rPr>
          <w:b w:val="0"/>
          <w:position w:val="0"/>
          <w:sz w:val="22"/>
          <w:szCs w:val="22"/>
          <w:shd w:val="clear" w:color="auto" w:fill="auto"/>
          <w:vertAlign w:val="baseline"/>
        </w:rPr>
        <w:t xml:space="preserve"> 3 МПа») </w:t>
      </w:r>
      <w:r>
        <w:rPr>
          <w:b w:val="0"/>
          <w:position w:val="0"/>
          <w:sz w:val="22"/>
          <w:szCs w:val="24"/>
          <w:shd w:val="clear" w:color="auto" w:fill="auto"/>
          <w:vertAlign w:val="baseline"/>
        </w:rPr>
        <w:t xml:space="preserve">исходя из утвержденного режима работы скважин на текущий квартал </w:t>
      </w:r>
      <w:r>
        <w:rPr>
          <w:rFonts w:eastAsia="Times New Roman" w:cs="Times New Roman"/>
          <w:b w:val="0"/>
          <w:color w:val="000000"/>
          <w:position w:val="0"/>
          <w:sz w:val="22"/>
          <w:szCs w:val="24"/>
          <w:shd w:val="clear" w:color="auto" w:fill="auto"/>
          <w:vertAlign w:val="baseline"/>
          <w:lang w:val="ru-RU" w:eastAsia="ru-RU" w:bidi="ar-SA"/>
        </w:rPr>
        <w:t xml:space="preserve">и требований «Инструкции по безопасной эксплуатации и обслуживанию клапана-отсекателя  К-302 (PN320, DN100) и проверке срабатывания».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ind w:firstLine="0"/>
        <w:rPr>
          <w:rFonts w:ascii="Times New Roman" w:hAnsi="Times New Roman" w:eastAsia="Times New Roman" w:cs="Times New Roman"/>
          <w:b w:val="0"/>
          <w:color w:val="auto"/>
          <w:position w:val="0"/>
          <w:sz w:val="22"/>
          <w:szCs w:val="24"/>
          <w:highlight w:val="none"/>
          <w:shd w:val="clear" w:color="auto" w:fill="auto"/>
          <w:vertAlign w:val="baseline"/>
          <w:lang w:val="ru-RU" w:eastAsia="ru-RU" w:bidi="ar-SA"/>
        </w:rPr>
      </w:pPr>
      <w:r>
        <w:rPr>
          <w:rFonts w:eastAsia="Times New Roman" w:cs="Times New Roman"/>
          <w:b w:val="0"/>
          <w:color w:val="000000"/>
          <w:position w:val="0"/>
          <w:sz w:val="22"/>
          <w:szCs w:val="24"/>
          <w:shd w:val="clear" w:color="auto" w:fill="auto"/>
          <w:vertAlign w:val="baseline"/>
          <w:lang w:val="ru-RU" w:eastAsia="ru-RU" w:bidi="ar-SA"/>
        </w:rPr>
      </w:r>
      <w:r>
        <w:rPr>
          <w:rFonts w:ascii="Times New Roman" w:hAnsi="Times New Roman" w:eastAsia="Times New Roman" w:cs="Times New Roman"/>
          <w:b w:val="0"/>
          <w:color w:val="auto"/>
          <w:position w:val="0"/>
          <w:sz w:val="22"/>
          <w:szCs w:val="24"/>
          <w:highlight w:val="none"/>
          <w:shd w:val="clear" w:color="auto" w:fill="auto"/>
          <w:vertAlign w:val="baseline"/>
          <w:lang w:val="ru-RU" w:eastAsia="ru-RU" w:bidi="ar-SA"/>
        </w:rPr>
      </w:r>
      <w:r>
        <w:rPr>
          <w:rFonts w:ascii="Times New Roman" w:hAnsi="Times New Roman" w:eastAsia="Times New Roman" w:cs="Times New Roman"/>
          <w:b w:val="0"/>
          <w:color w:val="auto"/>
          <w:position w:val="0"/>
          <w:sz w:val="22"/>
          <w:szCs w:val="24"/>
          <w:highlight w:val="none"/>
          <w:shd w:val="clear" w:color="auto" w:fill="auto"/>
          <w:vertAlign w:val="baseline"/>
          <w:lang w:val="ru-RU" w:eastAsia="ru-RU" w:bidi="ar-SA"/>
        </w:rPr>
      </w:r>
    </w:p>
    <w:p>
      <w:pPr>
        <w:pStyle w:val="2030"/>
        <w:jc w:val="left"/>
        <w:spacing w:before="0" w:after="0"/>
        <w:rPr>
          <w:highlight w:val="none"/>
          <w:shd w:val="clear" w:color="auto" w:fill="auto"/>
        </w:rPr>
      </w:pPr>
      <w:r>
        <w:rPr>
          <w:b w:val="0"/>
          <w:sz w:val="22"/>
          <w:szCs w:val="22"/>
          <w:shd w:val="clear" w:color="auto" w:fill="auto"/>
          <w:vertAlign w:val="superscript"/>
        </w:rPr>
        <w:t xml:space="preserve">3  </w:t>
      </w:r>
      <w:r>
        <w:rPr>
          <w:b w:val="0"/>
          <w:position w:val="0"/>
          <w:sz w:val="22"/>
          <w:szCs w:val="22"/>
          <w:shd w:val="clear" w:color="auto" w:fill="auto"/>
          <w:vertAlign w:val="baseline"/>
        </w:rPr>
        <w:t xml:space="preserve">Температура гидратообразования определяется по кривой гидратообразования с учетом текущего рабочего давления. Рисунок 5.1.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sectPr>
          <w:headerReference w:type="default" r:id="rId18"/>
          <w:headerReference w:type="first" r:id="rId19"/>
          <w:footerReference w:type="default" r:id="rId49"/>
          <w:footerReference w:type="first" r:id="rId50"/>
          <w:footnotePr/>
          <w:endnotePr/>
          <w:type w:val="nextPage"/>
          <w:pgSz w:w="16838" w:h="11906" w:orient="landscape"/>
          <w:pgMar w:top="1134" w:right="851" w:bottom="1134" w:left="1701" w:header="567" w:footer="567" w:gutter="0"/>
          <w:cols w:num="1" w:sep="0" w:space="708" w:equalWidth="1"/>
          <w:docGrid w:linePitch="360"/>
        </w:sectPr>
      </w:pPr>
      <w:r/>
      <w:r/>
    </w:p>
    <w:p>
      <w:pPr>
        <w:pStyle w:val="1999"/>
      </w:pPr>
      <w:r/>
      <w:r/>
    </w:p>
    <w:p>
      <w:pPr>
        <w:sectPr>
          <w:footnotePr/>
          <w:endnotePr/>
          <w:type w:val="continuous"/>
          <w:pgSz w:w="16838" w:h="11906" w:orient="landscape"/>
          <w:pgMar w:top="1134" w:right="851" w:bottom="1134" w:left="1701" w:header="567" w:footer="567" w:gutter="0"/>
          <w:cols w:num="1" w:sep="0" w:space="708" w:equalWidth="1"/>
          <w:docGrid w:linePitch="360"/>
        </w:sectPr>
      </w:pPr>
      <w:r/>
      <w:r/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8" behindDoc="0" locked="0" layoutInCell="0" allowOverlap="1">
                <wp:simplePos x="0" y="0"/>
                <wp:positionH relativeFrom="column">
                  <wp:posOffset>2736215</wp:posOffset>
                </wp:positionH>
                <wp:positionV relativeFrom="paragraph">
                  <wp:posOffset>135255</wp:posOffset>
                </wp:positionV>
                <wp:extent cx="3599815" cy="4809490"/>
                <wp:effectExtent l="0" t="0" r="0" b="0"/>
                <wp:wrapSquare wrapText="bothSides"/>
                <wp:docPr id="7" name="Изображение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Изображение1" descr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3599815" cy="48094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position:absolute;z-index:8;o:allowoverlap:true;o:allowincell:false;mso-position-horizontal-relative:text;margin-left:215.45pt;mso-position-horizontal:absolute;mso-position-vertical-relative:text;margin-top:10.65pt;mso-position-vertical:absolute;width:283.45pt;height:378.70pt;mso-wrap-distance-left:0.00pt;mso-wrap-distance-top:0.00pt;mso-wrap-distance-right:0.00pt;mso-wrap-distance-bottom:0.00pt;" stroked="false">
                <v:path textboxrect="0,0,0,0"/>
                <w10:wrap type="square"/>
                <v:imagedata r:id="rId80" o:title=""/>
              </v:shape>
            </w:pict>
          </mc:Fallback>
        </mc:AlternateContent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left"/>
        <w:spacing w:before="0" w:after="0"/>
        <w:rPr>
          <w:b w:val="0"/>
          <w:highlight w:val="none"/>
          <w:shd w:val="clear" w:color="auto" w:fill="auto"/>
        </w:rPr>
      </w:pPr>
      <w:r>
        <w:rPr>
          <w:b w:val="0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  <w:r>
        <w:rPr>
          <w:b w:val="0"/>
          <w:highlight w:val="none"/>
          <w:shd w:val="clear" w:color="auto" w:fill="auto"/>
        </w:rPr>
      </w:r>
    </w:p>
    <w:p>
      <w:pPr>
        <w:pStyle w:val="2030"/>
        <w:jc w:val="center"/>
        <w:spacing w:before="0" w:after="0"/>
        <w:rPr>
          <w:highlight w:val="none"/>
          <w:shd w:val="clear" w:color="auto" w:fill="auto"/>
        </w:rPr>
      </w:pPr>
      <w:r>
        <w:rPr>
          <w:b w:val="0"/>
          <w:bCs w:val="0"/>
          <w:sz w:val="24"/>
          <w:szCs w:val="24"/>
          <w:shd w:val="clear" w:color="auto" w:fill="auto"/>
        </w:rPr>
        <w:t xml:space="preserve">Рисунок 5.1 График образования гидратов природных газов в зависимости от температуры и давления.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sectPr>
          <w:footnotePr/>
          <w:endnotePr/>
          <w:type w:val="continuous"/>
          <w:pgSz w:w="16838" w:h="11906" w:orient="landscape"/>
          <w:pgMar w:top="1134" w:right="851" w:bottom="1134" w:left="1701" w:header="567" w:footer="567" w:gutter="0"/>
          <w:cols w:num="1" w:sep="0" w:space="708" w:equalWidth="1"/>
          <w:docGrid w:linePitch="360"/>
        </w:sectPr>
      </w:pPr>
      <w:r/>
      <w:r/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highlight w:val="none"/>
          <w:shd w:val="clear" w:color="auto" w:fill="auto"/>
        </w:rPr>
      </w:pPr>
      <w:r>
        <w:rPr>
          <w:shd w:val="clear" w:color="auto" w:fill="auto"/>
        </w:rPr>
      </w:r>
      <w:bookmarkStart w:id="93" w:name="_top"/>
      <w:r/>
      <w:bookmarkStart w:id="94" w:name="_Toc57428808"/>
      <w:r/>
      <w:bookmarkEnd w:id="93"/>
      <w:r/>
      <w:bookmarkEnd w:id="94"/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</w:pPr>
      <w:r/>
      <w:bookmarkStart w:id="95" w:name="_Toc385183279"/>
      <w:r/>
      <w:bookmarkStart w:id="96" w:name="_Toc184800443"/>
      <w:r/>
      <w:bookmarkStart w:id="97" w:name="_Toc385427489"/>
      <w:r/>
      <w:bookmarkStart w:id="98" w:name="_Toc385183416"/>
      <w:r/>
      <w:bookmarkStart w:id="99" w:name="_Toc184786792"/>
      <w:r/>
      <w:bookmarkStart w:id="100" w:name="_Toc385517751"/>
      <w:r/>
      <w:bookmarkStart w:id="101" w:name="_Toc184786966"/>
      <w:r/>
      <w:bookmarkStart w:id="102" w:name="_Toc184727303"/>
      <w:r/>
      <w:bookmarkStart w:id="103" w:name="_Toc13992422"/>
      <w:r/>
      <w:bookmarkStart w:id="104" w:name="_Toc389464422"/>
      <w:r/>
      <w:bookmarkStart w:id="105" w:name="_Toc59334762"/>
      <w:r/>
      <w:bookmarkStart w:id="106" w:name="_Toc385183519"/>
      <w:r>
        <w:rPr>
          <w:rStyle w:val="1940"/>
          <w:shd w:val="clear" w:color="auto" w:fill="auto"/>
        </w:rPr>
        <w:t xml:space="preserve">6 ОСНОВНЫЕ ПОЛОЖЕНИЯ ПУСКА И ОСТАНОВКИ СКВАЖИН ПРИ НОРМАЛЬНЫХ УСЛОВИЯХ</w:t>
      </w:r>
      <w:bookmarkEnd w:id="95"/>
      <w:r/>
      <w:bookmarkEnd w:id="96"/>
      <w:r/>
      <w:bookmarkEnd w:id="97"/>
      <w:r/>
      <w:bookmarkEnd w:id="98"/>
      <w:r/>
      <w:bookmarkEnd w:id="99"/>
      <w:r/>
      <w:bookmarkEnd w:id="100"/>
      <w:r/>
      <w:bookmarkEnd w:id="101"/>
      <w:r/>
      <w:bookmarkEnd w:id="102"/>
      <w:r/>
      <w:bookmarkEnd w:id="103"/>
      <w:r/>
      <w:bookmarkEnd w:id="104"/>
      <w:r/>
      <w:bookmarkEnd w:id="105"/>
      <w:r/>
      <w:bookmarkEnd w:id="106"/>
      <w:r/>
      <w:r/>
    </w:p>
    <w:p>
      <w:pPr>
        <w:pStyle w:val="2171"/>
        <w:numPr>
          <w:ilvl w:val="1"/>
          <w:numId w:val="30"/>
        </w:numPr>
        <w:ind w:left="0" w:right="0" w:firstLine="709"/>
        <w:spacing w:line="360" w:lineRule="auto"/>
        <w:tabs>
          <w:tab w:val="left" w:pos="709" w:leader="none"/>
          <w:tab w:val="left" w:pos="1134" w:leader="none"/>
        </w:tabs>
        <w:rPr>
          <w:highlight w:val="none"/>
          <w:shd w:val="clear" w:color="auto" w:fill="auto"/>
        </w:rPr>
      </w:pPr>
      <w:r/>
      <w:bookmarkStart w:id="107" w:name="_Toc184727310"/>
      <w:r/>
      <w:bookmarkStart w:id="108" w:name="_Toc184786973"/>
      <w:r/>
      <w:bookmarkStart w:id="109" w:name="_Toc184800450"/>
      <w:r/>
      <w:bookmarkStart w:id="110" w:name="_Toc184786799"/>
      <w:r/>
      <w:bookmarkEnd w:id="107"/>
      <w:r/>
      <w:bookmarkEnd w:id="108"/>
      <w:r/>
      <w:bookmarkEnd w:id="109"/>
      <w:r/>
      <w:bookmarkEnd w:id="110"/>
      <w:r>
        <w:rPr>
          <w:sz w:val="24"/>
          <w:szCs w:val="24"/>
          <w:shd w:val="clear" w:color="auto" w:fill="auto"/>
        </w:rPr>
        <w:t xml:space="preserve">Общие положения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ind w:firstLine="709"/>
        <w:spacing w:line="360" w:lineRule="auto"/>
        <w:rPr>
          <w:highlight w:val="none"/>
          <w:shd w:val="clear" w:color="auto" w:fill="auto"/>
        </w:rPr>
      </w:pPr>
      <w:r>
        <w:rPr>
          <w:bCs/>
          <w:sz w:val="24"/>
          <w:szCs w:val="24"/>
          <w:shd w:val="clear" w:color="auto" w:fill="auto"/>
        </w:rPr>
        <w:t xml:space="preserve">6.1.1 Настоящие положения составлены на основании: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firstLine="709"/>
        <w:jc w:val="both"/>
        <w:spacing w:before="0" w:after="0" w:line="360" w:lineRule="auto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- Федеральных норм и правил «Правила безопасности в нефтяной и газовой промышленности»";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firstLine="709"/>
        <w:jc w:val="both"/>
        <w:spacing w:before="0" w:after="0" w:line="360" w:lineRule="auto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- «Технологического регламента эксплуатации УКПГ-»;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firstLine="709"/>
        <w:jc w:val="both"/>
        <w:spacing w:before="0" w:after="0" w:line="360" w:lineRule="auto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- Положения о безопасной эксплуатации трубопроводов (часть </w:t>
      </w:r>
      <w:r>
        <w:rPr>
          <w:sz w:val="24"/>
          <w:szCs w:val="24"/>
          <w:shd w:val="clear" w:color="auto" w:fill="auto"/>
          <w:lang w:val="en-US"/>
        </w:rPr>
        <w:t xml:space="preserve">II</w:t>
      </w:r>
      <w:r>
        <w:rPr>
          <w:sz w:val="24"/>
          <w:szCs w:val="24"/>
          <w:shd w:val="clear" w:color="auto" w:fill="auto"/>
        </w:rPr>
        <w:t xml:space="preserve">) СТО Газпром добыча Ямбург 3.1-387.2-2021;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firstLine="709"/>
        <w:jc w:val="both"/>
        <w:spacing w:before="0" w:after="0" w:line="360" w:lineRule="auto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- «Инструкции по эксплуатации фонтанной арматуры ИЭ-63-13-Д»;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firstLine="709"/>
        <w:jc w:val="both"/>
        <w:spacing w:before="0" w:after="0" w:line="360" w:lineRule="auto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- «Руководств по эксплуатации фонтанной арматуры и колонной головки» завода-изготовителя;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left="0" w:right="0" w:firstLine="709"/>
        <w:jc w:val="both"/>
        <w:spacing w:before="0" w:after="0" w:line="360" w:lineRule="auto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- Локальных нормативных актов , устанавливающих требования охраны труда, промышленной и пожарной безопасности, охраны окружающей среды.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right="47" w:firstLine="709"/>
        <w:jc w:val="both"/>
        <w:spacing w:before="151" w:after="0" w:line="360" w:lineRule="auto"/>
        <w:shd w:val="clear" w:color="auto" w:fill="ffffff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6.1.2 Скважиной </w:t>
      </w:r>
      <w:r>
        <w:rPr>
          <w:sz w:val="24"/>
          <w:szCs w:val="24"/>
          <w:shd w:val="clear" w:color="auto" w:fill="auto"/>
        </w:rPr>
        <w:t xml:space="preserve">называется цилиндрическая (вертикальная или наклонная) горная выработка, которая проводится при помощи механических приспособлений без доступа в нее человека. Диаметр скважины несопоставимо меньше ее длины. Начало скважины на земной поверхности называется </w:t>
      </w:r>
      <w:r>
        <w:rPr>
          <w:spacing w:val="37"/>
          <w:sz w:val="24"/>
          <w:szCs w:val="24"/>
          <w:shd w:val="clear" w:color="auto" w:fill="auto"/>
        </w:rPr>
        <w:t xml:space="preserve">устьем,</w:t>
      </w:r>
      <w:r>
        <w:rPr>
          <w:sz w:val="24"/>
          <w:szCs w:val="24"/>
          <w:shd w:val="clear" w:color="auto" w:fill="auto"/>
        </w:rPr>
        <w:t xml:space="preserve"> дно скважины - </w:t>
      </w:r>
      <w:r>
        <w:rPr>
          <w:spacing w:val="39"/>
          <w:sz w:val="24"/>
          <w:szCs w:val="24"/>
          <w:shd w:val="clear" w:color="auto" w:fill="auto"/>
        </w:rPr>
        <w:t xml:space="preserve">забоем,</w:t>
      </w:r>
      <w:r>
        <w:rPr>
          <w:sz w:val="24"/>
          <w:szCs w:val="24"/>
          <w:shd w:val="clear" w:color="auto" w:fill="auto"/>
        </w:rPr>
        <w:t xml:space="preserve"> пространство от забоя до устья - стволом скважины.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right="36" w:firstLine="709"/>
        <w:jc w:val="both"/>
        <w:spacing w:before="0" w:after="0" w:line="360" w:lineRule="auto"/>
        <w:shd w:val="clear" w:color="auto" w:fill="ffffff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Конструкцией скважины называют сочетание нескольких колонн обсадных труб различной длины, диаметра и толщины стенок, опущенных концентрично в скважину с зацементированными заколонными пространствами на различную высоту от забоя.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right="36" w:firstLine="709"/>
        <w:jc w:val="both"/>
        <w:spacing w:before="0" w:after="0" w:line="360" w:lineRule="auto"/>
        <w:shd w:val="clear" w:color="auto" w:fill="ffffff"/>
        <w:rPr>
          <w:highlight w:val="none"/>
          <w:shd w:val="clear" w:color="auto" w:fill="auto"/>
        </w:rPr>
      </w:pPr>
      <w:r>
        <w:rPr>
          <w:iCs/>
          <w:sz w:val="24"/>
          <w:szCs w:val="24"/>
          <w:shd w:val="clear" w:color="auto" w:fill="auto"/>
        </w:rPr>
        <w:t xml:space="preserve">Эксплуатационные </w:t>
      </w:r>
      <w:r>
        <w:rPr>
          <w:sz w:val="24"/>
          <w:szCs w:val="24"/>
          <w:shd w:val="clear" w:color="auto" w:fill="auto"/>
        </w:rPr>
        <w:t xml:space="preserve">скважины бурят для извлечения пластовых флюидов в соответствии с проектом разработки месторождения. В эту категорию входят также </w:t>
      </w:r>
      <w:r>
        <w:rPr>
          <w:iCs/>
          <w:sz w:val="24"/>
          <w:szCs w:val="24"/>
          <w:shd w:val="clear" w:color="auto" w:fill="auto"/>
        </w:rPr>
        <w:t xml:space="preserve">нагнетательные (поглощающие) </w:t>
      </w:r>
      <w:r>
        <w:rPr>
          <w:sz w:val="24"/>
          <w:szCs w:val="24"/>
          <w:shd w:val="clear" w:color="auto" w:fill="auto"/>
        </w:rPr>
        <w:t xml:space="preserve">скважины, служащие для закачки в продуктивный объект воды, газа; </w:t>
      </w:r>
      <w:r>
        <w:rPr>
          <w:iCs/>
          <w:sz w:val="24"/>
          <w:szCs w:val="24"/>
          <w:shd w:val="clear" w:color="auto" w:fill="auto"/>
        </w:rPr>
        <w:t xml:space="preserve">оценочные -</w:t>
      </w:r>
      <w:r>
        <w:rPr>
          <w:sz w:val="24"/>
          <w:szCs w:val="24"/>
          <w:shd w:val="clear" w:color="auto" w:fill="auto"/>
        </w:rPr>
        <w:t xml:space="preserve"> для оценки коллекторов продуктивных горизонтов; </w:t>
      </w:r>
      <w:r>
        <w:rPr>
          <w:iCs/>
          <w:sz w:val="24"/>
          <w:szCs w:val="24"/>
          <w:shd w:val="clear" w:color="auto" w:fill="auto"/>
        </w:rPr>
        <w:t xml:space="preserve">наблюдательные </w:t>
      </w:r>
      <w:r>
        <w:rPr>
          <w:sz w:val="24"/>
          <w:szCs w:val="24"/>
          <w:shd w:val="clear" w:color="auto" w:fill="auto"/>
        </w:rPr>
        <w:t xml:space="preserve">и </w:t>
      </w:r>
      <w:r>
        <w:rPr>
          <w:iCs/>
          <w:sz w:val="24"/>
          <w:szCs w:val="24"/>
          <w:shd w:val="clear" w:color="auto" w:fill="auto"/>
        </w:rPr>
        <w:t xml:space="preserve">пьезометрические -</w:t>
      </w:r>
      <w:r>
        <w:rPr>
          <w:sz w:val="24"/>
          <w:szCs w:val="24"/>
          <w:shd w:val="clear" w:color="auto" w:fill="auto"/>
        </w:rPr>
        <w:t xml:space="preserve"> для наблюдения за изменением давления водогазонефтяного контакта в процессе эксплуатации месторождения.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right="36" w:firstLine="709"/>
        <w:jc w:val="both"/>
        <w:spacing w:before="0" w:after="0" w:line="360" w:lineRule="auto"/>
        <w:shd w:val="clear" w:color="auto" w:fill="ffffff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На колонной головке скважины устанавливают фонтанную арматуру, предназначенную для оборудования устья скважин с целью их герметизации, контроля и регулирования режима эксплуатации.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999"/>
        <w:contextualSpacing/>
        <w:ind w:firstLine="709"/>
        <w:spacing w:before="120" w:after="120" w:line="360" w:lineRule="auto"/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6.1.3 </w:t>
      </w:r>
      <w:r>
        <w:rPr>
          <w:color w:val="000000"/>
          <w:szCs w:val="24"/>
          <w:shd w:val="clear" w:color="auto" w:fill="auto"/>
        </w:rPr>
        <w:t xml:space="preserve">Для обеспечения добычи газа на ГП- месторождение проектом разработки предусмотрена 61 эксплуатационная скважина. Скважины сгруппированы в 10 кустов.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999"/>
        <w:contextualSpacing/>
        <w:ind w:firstLine="709"/>
        <w:spacing w:before="120" w:after="120" w:line="360" w:lineRule="auto"/>
        <w:rPr>
          <w:highlight w:val="none"/>
          <w:shd w:val="clear" w:color="auto" w:fill="auto"/>
        </w:rPr>
      </w:pPr>
      <w:r>
        <w:rPr>
          <w:color w:val="000000"/>
          <w:szCs w:val="24"/>
          <w:shd w:val="clear" w:color="auto" w:fill="auto"/>
        </w:rPr>
        <w:t xml:space="preserve">6.1.4 Для оборудования устья скважин на КГС №№1-10 используется фонтанная арматура АФ6-80/65х35 К1 ХЛ (ВМЗ) и ФА 12 3/4" х 9 5/8" х 6 5/8" х 3 1/2" - 5000psi </w:t>
      </w:r>
      <w:r>
        <w:rPr>
          <w:szCs w:val="24"/>
          <w:shd w:val="clear" w:color="auto" w:fill="auto"/>
        </w:rPr>
        <w:t xml:space="preserve">(Зеленодольский завод имени А.М. Горького, ООО НПО Нефтегаздеталь).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999"/>
        <w:contextualSpacing/>
        <w:ind w:firstLine="709"/>
        <w:spacing w:before="120" w:after="120" w:line="360" w:lineRule="auto"/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Фонтанная арматура до установки на устье скв</w:t>
      </w:r>
      <w:r>
        <w:rPr>
          <w:szCs w:val="24"/>
          <w:shd w:val="clear" w:color="auto" w:fill="auto"/>
        </w:rPr>
        <w:t xml:space="preserve">ажины опрессовывается в собранном виде на пробное давление, указанное в паспорте завода-изготовителя, а после установки на устье скважины - на максимально ожидаемое давление на устье скважины, но не превышающее давления опрессовки эксплуатационной колонны.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999"/>
        <w:contextualSpacing/>
        <w:ind w:firstLine="709"/>
        <w:spacing w:before="120" w:after="120" w:line="360" w:lineRule="auto"/>
        <w:rPr>
          <w:highlight w:val="none"/>
          <w:shd w:val="clear" w:color="auto" w:fill="auto"/>
        </w:rPr>
      </w:pPr>
      <w:r>
        <w:rPr>
          <w:color w:val="000000"/>
          <w:szCs w:val="24"/>
          <w:shd w:val="clear" w:color="auto" w:fill="auto"/>
        </w:rPr>
        <w:t xml:space="preserve">Осмотр, обслуживание, ремонт фонтанной арматуры производится согласно заводских и</w:t>
      </w:r>
      <w:r>
        <w:rPr>
          <w:szCs w:val="24"/>
          <w:shd w:val="clear" w:color="auto" w:fill="auto"/>
        </w:rPr>
        <w:t xml:space="preserve">нструкций (руководств) по эксплуатации фонтанной арматуры и производственной инструкции, разработанной в филиале Филиал.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999"/>
        <w:contextualSpacing/>
        <w:ind w:firstLine="709"/>
        <w:spacing w:before="120" w:after="120" w:line="360" w:lineRule="auto"/>
        <w:rPr>
          <w:highlight w:val="none"/>
          <w:shd w:val="clear" w:color="auto" w:fill="auto"/>
        </w:rPr>
      </w:pPr>
      <w:r>
        <w:rPr>
          <w:color w:val="000000"/>
          <w:sz w:val="24"/>
          <w:szCs w:val="24"/>
          <w:shd w:val="clear" w:color="auto" w:fill="auto"/>
        </w:rPr>
        <w:t xml:space="preserve">6.1.5 </w:t>
      </w:r>
      <w:r>
        <w:rPr>
          <w:shd w:val="clear" w:color="auto" w:fill="auto"/>
        </w:rPr>
        <w:t xml:space="preserve">Скважины в составе ОПО </w:t>
      </w:r>
      <w:r>
        <w:rPr>
          <w:shd w:val="clear" w:color="auto" w:fill="auto"/>
          <w:lang w:val="ru-RU" w:eastAsia="ru-RU" w:bidi="ar-SA"/>
        </w:rPr>
        <w:t xml:space="preserve">«Фонд скважин Газового промысла №   месторождения»</w:t>
      </w:r>
      <w:r>
        <w:rPr>
          <w:shd w:val="clear" w:color="auto" w:fill="auto"/>
        </w:rPr>
        <w:t xml:space="preserve"> технологически связаны с </w:t>
      </w:r>
      <w:r>
        <w:rPr>
          <w:b w:val="0"/>
          <w:bCs w:val="0"/>
          <w:position w:val="0"/>
          <w:sz w:val="24"/>
          <w:shd w:val="clear" w:color="auto" w:fill="auto"/>
          <w:vertAlign w:val="baseline"/>
        </w:rPr>
        <w:t xml:space="preserve">ОПО «Система промысловых трубопроводов Газового промысла №   месторождения»</w:t>
      </w:r>
      <w:r>
        <w:rPr>
          <w:shd w:val="clear" w:color="auto" w:fill="auto"/>
        </w:rPr>
        <w:t xml:space="preserve">. Система промысловых трубопроводов представляет соб</w:t>
      </w:r>
      <w:r>
        <w:rPr>
          <w:shd w:val="clear" w:color="auto" w:fill="auto"/>
        </w:rPr>
        <w:t xml:space="preserve">ой систему манифольдов обвязки скважин с условным диаметром 100 мм и внутрипромысловых газосборных шлейфов с условными диаметрами 273, 325 мм, предназначенные для подачи газа от 10 кустов газоконденсатных скважин на установку комплексной подготовки газа. О</w:t>
      </w:r>
      <w:r>
        <w:rPr>
          <w:shd w:val="clear" w:color="auto" w:fill="auto"/>
        </w:rPr>
        <w:t xml:space="preserve">смотр, обслуживание, ремонт системы промысловых трубопроводов производится согласно Производственной инструкции по безопасной эксплуатации, обслуживанию и ремонту промысловых и технологических трубопроводов в подразделениях Филиалщего управления.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firstLine="709"/>
        <w:jc w:val="both"/>
        <w:spacing w:before="0" w:after="0" w:line="360" w:lineRule="auto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6.1.6 Для исключения риска повреждения трубопроводов при проведении вблизи трубопроводов строительно-монтажных, изыскательских, или иных работ, устанавливается охранная зона трубопроводов: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firstLine="709"/>
        <w:jc w:val="both"/>
        <w:spacing w:before="0" w:after="0" w:line="360" w:lineRule="auto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- для одиночно проложенных трубопроводов - в виде участка земли, ограниченного условными линиями, проходящими в 25 метрах от оси трубопровода с каждой стороны,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firstLine="709"/>
        <w:jc w:val="both"/>
        <w:spacing w:before="0" w:after="0" w:line="360" w:lineRule="auto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- при групповой прокладке трубопроводов - в виде участка земли, ограниченного условными линиями, проходящими в 25 метрах от осей крайних трубопроводов.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firstLine="709"/>
        <w:jc w:val="both"/>
        <w:spacing w:before="0" w:after="0" w:line="360" w:lineRule="auto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Для площадок кустов газовых и газоконденсатных скважин охранная зона устанавливается в виде участка земли, ограниченного условной линией, проходящей в 25 метрах от площадки куста скважин по периметру. 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firstLine="709"/>
        <w:jc w:val="both"/>
        <w:spacing w:before="0" w:after="0" w:line="360" w:lineRule="auto"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6.1.7 Производство огневых и газоопасных работ на оборудовании обвязки скважин следует выполнять в соответствии с действующими в Обществе инструкциями по безопасному ведению огневых и газоопасных работ на опасных производственных объектах.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999"/>
        <w:contextualSpacing/>
        <w:ind w:firstLine="709"/>
        <w:spacing w:before="120" w:after="120" w:line="360" w:lineRule="auto"/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6.1.8 Допуск сторонних подрядных организаций для производства работ в охранной зоне кустов газовых скважин должен осуществляться в соответствии с действующим в Обществе положением.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999"/>
        <w:contextualSpacing/>
        <w:ind w:firstLine="709"/>
        <w:spacing w:before="120" w:after="120" w:line="360" w:lineRule="auto"/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6.1.9 Остановка скважины производится операторами по добыче нефти и газа (фонда скважин) ГП</w:t>
        <w:noBreakHyphen/>
        <w:t xml:space="preserve"> по согласованию с ПДС, с лицом ответственным за ведение технологического режима на ОПО, после получения задания от мастера по д.н.г. и к. ГП-.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ind w:firstLine="709"/>
        <w:spacing w:before="120" w:after="120" w:line="360" w:lineRule="auto"/>
        <w:rPr>
          <w:highlight w:val="none"/>
          <w:shd w:val="clear" w:color="auto" w:fill="auto"/>
        </w:rPr>
      </w:pPr>
      <w:r>
        <w:rPr>
          <w:b/>
          <w:sz w:val="24"/>
          <w:szCs w:val="24"/>
          <w:shd w:val="clear" w:color="auto" w:fill="auto"/>
        </w:rPr>
        <w:t xml:space="preserve">6.2 Обязанности персонала во время контроля за работой скважины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1"/>
        <w:ind w:firstLine="709"/>
        <w:spacing w:line="360" w:lineRule="auto"/>
        <w:widowControl/>
      </w:pPr>
      <w:r>
        <w:rPr>
          <w:rStyle w:val="1995"/>
          <w:shd w:val="clear" w:color="auto" w:fill="auto"/>
        </w:rPr>
        <w:t xml:space="preserve">6.2.1 К обслуживанию фонда скважин</w:t>
      </w:r>
      <w:r>
        <w:rPr>
          <w:rStyle w:val="1995"/>
          <w:rFonts w:eastAsia="Calibri"/>
          <w:shd w:val="clear" w:color="auto" w:fill="auto"/>
          <w:lang w:eastAsia="en-US"/>
        </w:rPr>
        <w:t xml:space="preserve"> ГП- </w:t>
      </w:r>
      <w:r>
        <w:rPr>
          <w:rStyle w:val="1995"/>
          <w:shd w:val="clear" w:color="auto" w:fill="auto"/>
        </w:rPr>
        <w:t xml:space="preserve">могут быть допущены лица, не моложе восемнадцатилетнего возраста, удовлетворяющие квалификационным требованиям, не имеющие медицинских противопоказаний к указанной работе и допущенного в установленном порядке к самостоятельной работе. </w:t>
      </w:r>
      <w:r/>
    </w:p>
    <w:p>
      <w:pPr>
        <w:pStyle w:val="2191"/>
        <w:ind w:firstLine="709"/>
        <w:spacing w:line="360" w:lineRule="auto"/>
        <w:widowControl/>
        <w:rPr>
          <w:highlight w:val="none"/>
          <w:shd w:val="clear" w:color="auto" w:fill="auto"/>
        </w:rPr>
      </w:pPr>
      <w:r>
        <w:rPr>
          <w:rFonts w:ascii="Times New Roman" w:hAnsi="Times New Roman"/>
          <w:shd w:val="clear" w:color="auto" w:fill="auto"/>
        </w:rPr>
        <w:t xml:space="preserve">К работам на скважинах с возможными газонефтеводопроявлениями (далее-ГНВП), допускаются рабочие и специалисты, прошедшие подготовку по курсу «Контроль скважины. Управление скважиной при ГНВП» в специализированных учебных центрах.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1"/>
        <w:ind w:firstLine="709"/>
        <w:spacing w:line="360" w:lineRule="auto"/>
        <w:widowControl/>
      </w:pPr>
      <w:r>
        <w:rPr>
          <w:rStyle w:val="1995"/>
          <w:shd w:val="clear" w:color="auto" w:fill="auto"/>
        </w:rPr>
        <w:t xml:space="preserve">6.2.2 В период эксплуатации оборудования операторы по д.н.г (фонда скважин) ГП</w:t>
        <w:noBreakHyphen/>
        <w:t xml:space="preserve"> должны следить за исправным состоянием всех элемент</w:t>
      </w:r>
      <w:r>
        <w:rPr>
          <w:rStyle w:val="1995"/>
          <w:shd w:val="clear" w:color="auto" w:fill="auto"/>
        </w:rPr>
        <w:t xml:space="preserve">ов скважины и обвязки. При этом особое внимание должно быть обращено на фонтанную арматуру, сварные швы, фланцевые и резьбовые соединения, включая крепеж, опорные конструкции, арматуру (регулирующие устройства), приборы и средства контроля и автоматизации.</w:t>
      </w:r>
      <w:r/>
    </w:p>
    <w:p>
      <w:pPr>
        <w:pStyle w:val="2191"/>
        <w:ind w:firstLine="709"/>
        <w:spacing w:line="360" w:lineRule="auto"/>
        <w:widowControl/>
      </w:pPr>
      <w:r>
        <w:rPr>
          <w:rStyle w:val="1995"/>
          <w:shd w:val="clear" w:color="auto" w:fill="auto"/>
        </w:rPr>
        <w:t xml:space="preserve">6.2.3 При проведении осмотров оборудования на кустах газовы</w:t>
      </w:r>
      <w:r>
        <w:rPr>
          <w:rStyle w:val="1995"/>
          <w:shd w:val="clear" w:color="auto" w:fill="auto"/>
        </w:rPr>
        <w:t xml:space="preserve">х скважин операторами по д.н.г. (фонда скважин) ГП- необходимо руководствоваться действующим перечнем работ, выполняемых операторами по д.н.г. (фонда скважин), при проведении плановых осмотров кустов газовых скважин, и пунктами разработанных чек- листов.</w:t>
      </w:r>
      <w:r/>
    </w:p>
    <w:p>
      <w:pPr>
        <w:pStyle w:val="2191"/>
        <w:ind w:firstLine="709"/>
        <w:spacing w:line="360" w:lineRule="auto"/>
        <w:widowControl/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6.2.4   При проведении осмотра оборудования, фонтанной арматуры, трубопроводов обвязки скважин, запорно-регулирующей арматуры в обвязке скважин газового промысла ГП- </w:t>
      </w:r>
      <w:r>
        <w:rPr>
          <w:rStyle w:val="1995"/>
          <w:bCs/>
          <w:shd w:val="clear" w:color="auto" w:fill="auto"/>
        </w:rPr>
        <w:t xml:space="preserve">оператор по д.н.г. (фонда скважин) ГП- должен проверять:</w:t>
      </w:r>
      <w:r/>
    </w:p>
    <w:p>
      <w:pPr>
        <w:pStyle w:val="2191"/>
        <w:numPr>
          <w:ilvl w:val="3"/>
          <w:numId w:val="25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left" w:pos="567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отсутствие зазоров между трубопроводом и опорой;</w:t>
      </w:r>
      <w:r/>
    </w:p>
    <w:p>
      <w:pPr>
        <w:pStyle w:val="2191"/>
        <w:numPr>
          <w:ilvl w:val="3"/>
          <w:numId w:val="25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отсутствие пропусков во фланцевых соединениях на трубопроводах и фланцевых соединений арматуры;</w:t>
      </w:r>
      <w:r/>
    </w:p>
    <w:p>
      <w:pPr>
        <w:pStyle w:val="2191"/>
        <w:numPr>
          <w:ilvl w:val="3"/>
          <w:numId w:val="25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наличие опознавательной окраски, предупреждающих знаков и  </w:t>
      </w:r>
      <w:r/>
    </w:p>
    <w:p>
      <w:pPr>
        <w:pStyle w:val="2191"/>
        <w:numPr>
          <w:ilvl w:val="3"/>
          <w:numId w:val="25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наличие маркировочных колец на трубопроводах (ГОСТ14202-69);</w:t>
      </w:r>
      <w:r/>
    </w:p>
    <w:p>
      <w:pPr>
        <w:pStyle w:val="2191"/>
        <w:numPr>
          <w:ilvl w:val="3"/>
          <w:numId w:val="25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отсутствие разрывов защитного кожуха теплоизоляции;</w:t>
      </w:r>
      <w:r/>
    </w:p>
    <w:p>
      <w:pPr>
        <w:pStyle w:val="2191"/>
        <w:numPr>
          <w:ilvl w:val="3"/>
          <w:numId w:val="25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отсутствие незакрытых окон для проведения толщинометрии;</w:t>
      </w:r>
      <w:r/>
    </w:p>
    <w:p>
      <w:pPr>
        <w:pStyle w:val="2191"/>
        <w:numPr>
          <w:ilvl w:val="3"/>
          <w:numId w:val="25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исправности состояния механизма переключения на отсекающих устройствах (положение рукоятки перевода устройства в автоматический режим), наличие пломб;</w:t>
      </w:r>
      <w:r/>
    </w:p>
    <w:p>
      <w:pPr>
        <w:pStyle w:val="2191"/>
        <w:numPr>
          <w:ilvl w:val="3"/>
          <w:numId w:val="25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наличие и читаемости заводских табличек на ЗРА;</w:t>
      </w:r>
      <w:r/>
    </w:p>
    <w:p>
      <w:pPr>
        <w:pStyle w:val="2191"/>
        <w:numPr>
          <w:ilvl w:val="3"/>
          <w:numId w:val="25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наличие табличек с технологическими номерами на ЗРА;</w:t>
      </w:r>
      <w:r/>
    </w:p>
    <w:p>
      <w:pPr>
        <w:pStyle w:val="2191"/>
        <w:numPr>
          <w:ilvl w:val="3"/>
          <w:numId w:val="25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в удовлетворительном состоянии лакокрасочного и антикоррозийного покрытия трубопроводов и ЗРА;</w:t>
      </w:r>
      <w:r/>
    </w:p>
    <w:p>
      <w:pPr>
        <w:pStyle w:val="2191"/>
        <w:numPr>
          <w:ilvl w:val="0"/>
          <w:numId w:val="26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герметичности элементов КГ и ФА;</w:t>
      </w:r>
      <w:r/>
    </w:p>
    <w:p>
      <w:pPr>
        <w:pStyle w:val="2191"/>
        <w:numPr>
          <w:ilvl w:val="0"/>
          <w:numId w:val="26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исправности штурвалов арматуры, элементов крепления штурвалов;</w:t>
      </w:r>
      <w:r/>
    </w:p>
    <w:p>
      <w:pPr>
        <w:pStyle w:val="2191"/>
        <w:numPr>
          <w:ilvl w:val="0"/>
          <w:numId w:val="26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Fonts w:ascii="Times New Roman" w:hAnsi="Times New Roman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наличие и читаемости заводских табличек на ЗРА;</w:t>
      </w:r>
      <w:r/>
    </w:p>
    <w:p>
      <w:pPr>
        <w:pStyle w:val="2191"/>
        <w:numPr>
          <w:ilvl w:val="0"/>
          <w:numId w:val="26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наличие табличек с технологическими номерами на ФА;</w:t>
      </w:r>
      <w:r/>
    </w:p>
    <w:p>
      <w:pPr>
        <w:pStyle w:val="2191"/>
        <w:numPr>
          <w:ilvl w:val="0"/>
          <w:numId w:val="26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удовлетворительном состояние лакокрасочного и антикоррозийного покрытия ФА и КГ;</w:t>
      </w:r>
      <w:r/>
    </w:p>
    <w:p>
      <w:pPr>
        <w:pStyle w:val="2191"/>
        <w:numPr>
          <w:ilvl w:val="0"/>
          <w:numId w:val="26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отсутствие загрязнений ФА и КГ;</w:t>
      </w:r>
      <w:r/>
    </w:p>
    <w:p>
      <w:pPr>
        <w:pStyle w:val="2191"/>
        <w:numPr>
          <w:ilvl w:val="0"/>
          <w:numId w:val="26"/>
        </w:numPr>
        <w:ind w:left="0" w:firstLine="709"/>
        <w:spacing w:line="360" w:lineRule="auto"/>
        <w:tabs>
          <w:tab w:val="left" w:pos="142" w:leader="none"/>
          <w:tab w:val="left" w:pos="284" w:leader="none"/>
          <w:tab w:val="clear" w:pos="709" w:leader="none"/>
        </w:tabs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исправности ступеней лестниц, настила площадки, перильного ограждения на КГС;</w:t>
      </w:r>
      <w:r/>
    </w:p>
    <w:p>
      <w:pPr>
        <w:pStyle w:val="2191"/>
        <w:numPr>
          <w:ilvl w:val="0"/>
          <w:numId w:val="26"/>
        </w:numPr>
        <w:ind w:left="0" w:firstLine="709"/>
        <w:spacing w:line="360" w:lineRule="auto"/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наличие расстояния от поверхности грунта до первой ступени площадок обслуживания скважин не более 25 см;</w:t>
      </w:r>
      <w:r/>
    </w:p>
    <w:p>
      <w:pPr>
        <w:pStyle w:val="2191"/>
        <w:numPr>
          <w:ilvl w:val="0"/>
          <w:numId w:val="26"/>
        </w:numPr>
        <w:ind w:left="0" w:firstLine="709"/>
        <w:spacing w:line="360" w:lineRule="auto"/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отсутствие соприкосновения площадок обслуживания скважин с трубопроводами и ФА;</w:t>
      </w:r>
      <w:r/>
    </w:p>
    <w:p>
      <w:pPr>
        <w:pStyle w:val="2191"/>
        <w:numPr>
          <w:ilvl w:val="0"/>
          <w:numId w:val="26"/>
        </w:numPr>
        <w:ind w:left="0" w:firstLine="709"/>
        <w:spacing w:line="360" w:lineRule="auto"/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наличие табличек с технологическими и инвентарными номерами скважин;</w:t>
      </w:r>
      <w:r/>
    </w:p>
    <w:p>
      <w:pPr>
        <w:pStyle w:val="2191"/>
        <w:numPr>
          <w:ilvl w:val="0"/>
          <w:numId w:val="27"/>
        </w:numPr>
        <w:ind w:left="0" w:firstLine="709"/>
        <w:spacing w:line="360" w:lineRule="auto"/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удовлетворительном состояние лакокрасочного и антикоррозийного покрытия площадок обслуживания скважин;</w:t>
      </w:r>
      <w:r/>
    </w:p>
    <w:p>
      <w:pPr>
        <w:pStyle w:val="2191"/>
        <w:numPr>
          <w:ilvl w:val="0"/>
          <w:numId w:val="27"/>
        </w:numPr>
        <w:ind w:left="0" w:firstLine="709"/>
        <w:spacing w:line="360" w:lineRule="auto"/>
      </w:pPr>
      <w:r>
        <w:rPr>
          <w:rFonts w:ascii="Times New Roman" w:hAnsi="Times New Roman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наличие, комплектность и исправность приборов КИПиА, установленных на трубопроводах и оборудовании на КГС;</w:t>
      </w:r>
      <w:r/>
    </w:p>
    <w:p>
      <w:pPr>
        <w:pStyle w:val="2191"/>
        <w:numPr>
          <w:ilvl w:val="0"/>
          <w:numId w:val="27"/>
        </w:numPr>
        <w:ind w:left="0" w:firstLine="709"/>
        <w:spacing w:line="360" w:lineRule="auto"/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наличие знаков безопасности перед въездом на площадку КГС;</w:t>
      </w:r>
      <w:r/>
    </w:p>
    <w:p>
      <w:pPr>
        <w:pStyle w:val="2191"/>
        <w:numPr>
          <w:ilvl w:val="0"/>
          <w:numId w:val="27"/>
        </w:numPr>
        <w:ind w:left="0" w:firstLine="709"/>
        <w:spacing w:line="360" w:lineRule="auto"/>
      </w:pPr>
      <w:r>
        <w:rPr>
          <w:rFonts w:ascii="Times New Roman" w:hAnsi="Times New Roman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отсутствие размывов площадки (ям, оврагов) на КГС;</w:t>
      </w:r>
      <w:r/>
    </w:p>
    <w:p>
      <w:pPr>
        <w:pStyle w:val="2191"/>
        <w:numPr>
          <w:ilvl w:val="0"/>
          <w:numId w:val="27"/>
        </w:numPr>
        <w:ind w:left="0" w:firstLine="709"/>
        <w:spacing w:line="360" w:lineRule="auto"/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отсутствие устьевых воронок;</w:t>
      </w:r>
      <w:r/>
    </w:p>
    <w:p>
      <w:pPr>
        <w:pStyle w:val="2191"/>
        <w:numPr>
          <w:ilvl w:val="0"/>
          <w:numId w:val="27"/>
        </w:numPr>
        <w:ind w:left="0" w:firstLine="709"/>
        <w:spacing w:line="360" w:lineRule="auto"/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отсутствие грифонов;</w:t>
      </w:r>
      <w:r/>
    </w:p>
    <w:p>
      <w:pPr>
        <w:pStyle w:val="2191"/>
        <w:numPr>
          <w:ilvl w:val="0"/>
          <w:numId w:val="27"/>
        </w:numPr>
        <w:ind w:left="0" w:firstLine="709"/>
        <w:spacing w:line="360" w:lineRule="auto"/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отсутствие захламления площадки куста и прилегающей территории посторонними предметами, бытовым и строительным мусором;</w:t>
      </w:r>
      <w:r/>
    </w:p>
    <w:p>
      <w:pPr>
        <w:pStyle w:val="2191"/>
        <w:numPr>
          <w:ilvl w:val="0"/>
          <w:numId w:val="27"/>
        </w:numPr>
        <w:ind w:left="0" w:firstLine="709"/>
        <w:spacing w:line="360" w:lineRule="auto"/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отсутствие мест замазучивания, разливов и пятен ГСМ на кустах газовых скважин;</w:t>
      </w:r>
      <w:r/>
    </w:p>
    <w:p>
      <w:pPr>
        <w:pStyle w:val="2191"/>
        <w:numPr>
          <w:ilvl w:val="0"/>
          <w:numId w:val="27"/>
        </w:numPr>
        <w:ind w:left="0" w:firstLine="709"/>
        <w:spacing w:line="360" w:lineRule="auto"/>
      </w:pPr>
      <w:r>
        <w:rPr>
          <w:rStyle w:val="1995"/>
          <w:shd w:val="clear" w:color="auto" w:fill="auto"/>
        </w:rPr>
        <w:t xml:space="preserve"> </w:t>
      </w:r>
      <w:r>
        <w:rPr>
          <w:rStyle w:val="1995"/>
          <w:shd w:val="clear" w:color="auto" w:fill="auto"/>
        </w:rPr>
        <w:t xml:space="preserve">правильности геометрической формы обвалования факельного амбара, отсутствие размывов стенок амбара;</w:t>
      </w:r>
      <w:r/>
    </w:p>
    <w:p>
      <w:pPr>
        <w:pStyle w:val="1889"/>
        <w:numPr>
          <w:ilvl w:val="0"/>
          <w:numId w:val="28"/>
        </w:numPr>
        <w:ind w:left="0" w:firstLine="709"/>
        <w:spacing w:line="360" w:lineRule="auto"/>
        <w:rPr>
          <w:highlight w:val="none"/>
          <w:shd w:val="clear" w:color="auto" w:fill="auto"/>
        </w:rPr>
      </w:pPr>
      <w:r>
        <w:rPr>
          <w:rFonts w:eastAsia="Calibri"/>
          <w:sz w:val="24"/>
          <w:szCs w:val="24"/>
          <w:shd w:val="clear" w:color="auto" w:fill="auto"/>
          <w:lang w:eastAsia="en-US"/>
        </w:rPr>
        <w:t xml:space="preserve">отсутствие деформаций трубопроводов;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numPr>
          <w:ilvl w:val="0"/>
          <w:numId w:val="28"/>
        </w:numPr>
        <w:ind w:left="0" w:firstLine="709"/>
        <w:spacing w:line="360" w:lineRule="auto"/>
        <w:rPr>
          <w:highlight w:val="none"/>
          <w:shd w:val="clear" w:color="auto" w:fill="auto"/>
        </w:rPr>
      </w:pPr>
      <w:r>
        <w:rPr>
          <w:rFonts w:eastAsia="Calibri"/>
          <w:sz w:val="24"/>
          <w:szCs w:val="24"/>
          <w:shd w:val="clear" w:color="auto" w:fill="auto"/>
          <w:lang w:eastAsia="en-US"/>
        </w:rPr>
        <w:t xml:space="preserve"> </w:t>
      </w:r>
      <w:r>
        <w:rPr>
          <w:sz w:val="24"/>
          <w:szCs w:val="24"/>
          <w:shd w:val="clear" w:color="auto" w:fill="auto"/>
        </w:rPr>
        <w:t xml:space="preserve">исправность трубопроводной арматуры</w:t>
      </w:r>
      <w:r>
        <w:rPr>
          <w:rFonts w:eastAsia="Calibri"/>
          <w:sz w:val="24"/>
          <w:szCs w:val="24"/>
          <w:shd w:val="clear" w:color="auto" w:fill="auto"/>
          <w:lang w:eastAsia="en-US"/>
        </w:rPr>
        <w:t xml:space="preserve">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numPr>
          <w:ilvl w:val="0"/>
          <w:numId w:val="29"/>
        </w:numPr>
        <w:ind w:left="0" w:firstLine="709"/>
        <w:spacing w:line="360" w:lineRule="auto"/>
      </w:pPr>
      <w:r>
        <w:rPr>
          <w:rStyle w:val="1995"/>
          <w:shd w:val="clear" w:color="auto" w:fill="auto"/>
        </w:rPr>
        <w:t xml:space="preserve">наличие штурвалов и маховиков на запорно-регулирующей арматуре;</w:t>
      </w:r>
      <w:r/>
    </w:p>
    <w:p>
      <w:pPr>
        <w:pStyle w:val="1889"/>
        <w:numPr>
          <w:ilvl w:val="0"/>
          <w:numId w:val="29"/>
        </w:numPr>
        <w:ind w:left="0" w:firstLine="709"/>
        <w:spacing w:line="360" w:lineRule="auto"/>
      </w:pPr>
      <w:r>
        <w:rPr>
          <w:rStyle w:val="1995"/>
          <w:shd w:val="clear" w:color="auto" w:fill="auto"/>
        </w:rPr>
        <w:t xml:space="preserve"> </w:t>
      </w:r>
      <w:r>
        <w:rPr>
          <w:sz w:val="24"/>
          <w:szCs w:val="24"/>
          <w:shd w:val="clear" w:color="auto" w:fill="auto"/>
        </w:rPr>
        <w:t xml:space="preserve">наличие </w:t>
      </w:r>
      <w:r>
        <w:rPr>
          <w:rStyle w:val="1995"/>
          <w:shd w:val="clear" w:color="auto" w:fill="auto"/>
        </w:rPr>
        <w:t xml:space="preserve">указателей направления открытия-закрытия на штурвалах запорной арматуры.</w:t>
      </w:r>
      <w:r/>
    </w:p>
    <w:p>
      <w:pPr>
        <w:pStyle w:val="2191"/>
        <w:ind w:firstLine="709"/>
        <w:spacing w:line="360" w:lineRule="auto"/>
      </w:pPr>
      <w:r>
        <w:rPr>
          <w:rStyle w:val="1995"/>
          <w:shd w:val="clear" w:color="auto" w:fill="auto"/>
        </w:rPr>
        <w:t xml:space="preserve">6.2.5 Задвижки линий задавочного раствора должны находится в закрытом положении на всех скважинах ГП-.</w:t>
      </w:r>
      <w:r/>
    </w:p>
    <w:p>
      <w:pPr>
        <w:pStyle w:val="2191"/>
        <w:ind w:firstLine="709"/>
        <w:spacing w:line="360" w:lineRule="auto"/>
        <w:widowControl/>
      </w:pPr>
      <w:r>
        <w:rPr>
          <w:rStyle w:val="1995"/>
          <w:shd w:val="clear" w:color="auto" w:fill="auto"/>
        </w:rPr>
        <w:t xml:space="preserve">6.2.6 В с</w:t>
      </w:r>
      <w:r>
        <w:rPr>
          <w:rStyle w:val="1995"/>
          <w:shd w:val="clear" w:color="auto" w:fill="auto"/>
        </w:rPr>
        <w:t xml:space="preserve">лучае выявления несоответствий при проведении осмотров трубопроводов и оборудования на КГС ГП- оператор по д.н.г. (фонда скважин) должен сообщить мастеру по д.н.г. и к. ГП- о выявленных несоответствиях и нарушениях, устранить выявленные несоответствия.</w:t>
      </w:r>
      <w:r/>
    </w:p>
    <w:p>
      <w:pPr>
        <w:pStyle w:val="2191"/>
        <w:ind w:firstLine="709"/>
        <w:spacing w:before="0" w:after="120" w:line="360" w:lineRule="auto"/>
        <w:widowControl/>
        <w:rPr>
          <w:highlight w:val="none"/>
          <w:shd w:val="clear" w:color="auto" w:fill="auto"/>
        </w:rPr>
      </w:pPr>
      <w:r>
        <w:rPr>
          <w:rFonts w:ascii="Times New Roman" w:hAnsi="Times New Roman"/>
          <w:b/>
          <w:shd w:val="clear" w:color="auto" w:fill="auto"/>
        </w:rPr>
        <w:t xml:space="preserve">6.3 Исследование скважин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2"/>
        <w:ind w:firstLine="709"/>
        <w:jc w:val="both"/>
        <w:spacing w:line="360" w:lineRule="auto"/>
        <w:widowControl/>
        <w:tabs>
          <w:tab w:val="clear" w:pos="709" w:leader="none"/>
          <w:tab w:val="left" w:pos="851" w:leader="none"/>
        </w:tabs>
      </w:pPr>
      <w:r>
        <w:rPr>
          <w:rStyle w:val="1995"/>
          <w:rFonts w:eastAsia="Calibri"/>
          <w:shd w:val="clear" w:color="auto" w:fill="auto"/>
          <w:lang w:eastAsia="en-US"/>
        </w:rPr>
        <w:t xml:space="preserve">6.3.1 Параметры работы скважин (давление, температура, расход) ГП- при помощи системы телеметрии выводятся на АРМ операторной ГП.</w:t>
      </w:r>
      <w:r/>
    </w:p>
    <w:p>
      <w:pPr>
        <w:pStyle w:val="2192"/>
        <w:ind w:firstLine="709"/>
        <w:jc w:val="both"/>
        <w:spacing w:line="360" w:lineRule="auto"/>
        <w:widowControl/>
        <w:tabs>
          <w:tab w:val="clear" w:pos="709" w:leader="none"/>
          <w:tab w:val="left" w:pos="851" w:leader="none"/>
        </w:tabs>
      </w:pPr>
      <w:r>
        <w:rPr>
          <w:rStyle w:val="1995"/>
          <w:rFonts w:eastAsia="Calibri"/>
          <w:shd w:val="clear" w:color="auto" w:fill="auto"/>
          <w:lang w:eastAsia="en-US"/>
        </w:rPr>
        <w:t xml:space="preserve">6.3.2 Исследованием эксплуатационных скважин (определение продуктивных характеристик скважин, ведение контроля за разработкой месторождения) занимается Управление геологии, разработки и лицензирования месторождений (УГРиЛМ). </w:t>
      </w:r>
      <w:r/>
    </w:p>
    <w:p>
      <w:pPr>
        <w:pStyle w:val="2192"/>
        <w:ind w:firstLine="709"/>
        <w:jc w:val="both"/>
        <w:spacing w:line="360" w:lineRule="auto"/>
        <w:widowControl/>
        <w:tabs>
          <w:tab w:val="clear" w:pos="709" w:leader="none"/>
          <w:tab w:val="left" w:pos="851" w:leader="none"/>
        </w:tabs>
      </w:pPr>
      <w:r>
        <w:rPr>
          <w:rStyle w:val="1995"/>
          <w:rFonts w:eastAsia="Calibri"/>
          <w:shd w:val="clear" w:color="auto" w:fill="auto"/>
          <w:lang w:eastAsia="en-US"/>
        </w:rPr>
        <w:t xml:space="preserve">6.3.3 Скважины для проведения исследований передается мастером по д.н.г. и к.    ГП- представителю УГРиЛМ по акту приема-передачи.</w:t>
      </w:r>
      <w:r/>
    </w:p>
    <w:p>
      <w:pPr>
        <w:pStyle w:val="1889"/>
        <w:ind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b/>
          <w:sz w:val="24"/>
          <w:szCs w:val="24"/>
          <w:shd w:val="clear" w:color="auto" w:fill="auto"/>
        </w:rPr>
        <w:t xml:space="preserve">6.4 Порядок пуска в работу и остановки (прекращения работы) скважины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1"/>
        <w:contextualSpacing/>
        <w:ind w:firstLine="709"/>
        <w:spacing w:before="0" w:after="0" w:line="360" w:lineRule="auto"/>
        <w:widowControl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ascii="Times New Roman" w:hAnsi="Times New Roman"/>
          <w:bCs/>
          <w:shd w:val="clear" w:color="auto" w:fill="auto"/>
        </w:rPr>
        <w:t xml:space="preserve">6.4.1</w:t>
        <w:tab/>
        <w:t xml:space="preserve">Пуск скважин в работу.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firstLine="709"/>
        <w:spacing w:before="0" w:after="0" w:line="360" w:lineRule="auto"/>
        <w:shd w:val="clear" w:color="auto" w:fill="ffffff"/>
        <w:widowControl w:val="off"/>
        <w:tabs>
          <w:tab w:val="left" w:pos="142" w:leader="none"/>
          <w:tab w:val="clear" w:pos="709" w:leader="none"/>
          <w:tab w:val="left" w:pos="851" w:leader="none"/>
        </w:tabs>
      </w:pPr>
      <w:r>
        <w:rPr>
          <w:rStyle w:val="1995"/>
          <w:shd w:val="clear" w:color="auto" w:fill="auto"/>
        </w:rPr>
        <w:t xml:space="preserve">Перед пуском в работу оператор по д.н.г. (фонда скважин) ГП- должен:</w:t>
      </w:r>
      <w:r/>
    </w:p>
    <w:p>
      <w:pPr>
        <w:pStyle w:val="2191"/>
        <w:numPr>
          <w:ilvl w:val="0"/>
          <w:numId w:val="24"/>
        </w:numPr>
        <w:contextualSpacing/>
        <w:ind w:left="0" w:firstLine="709"/>
        <w:jc w:val="left"/>
        <w:spacing w:before="0" w:after="0" w:line="360" w:lineRule="auto"/>
        <w:widowControl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ascii="Times New Roman" w:hAnsi="Times New Roman"/>
          <w:shd w:val="clear" w:color="auto" w:fill="auto"/>
        </w:rPr>
        <w:t xml:space="preserve">Произвести внешний осмотр и убедиться в исправности оборудования, запорной арматуры, правильность и надежность присоединения трубопроводов обвязки и готовность к работе КИП;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1"/>
        <w:numPr>
          <w:ilvl w:val="0"/>
          <w:numId w:val="24"/>
        </w:numPr>
        <w:contextualSpacing/>
        <w:ind w:left="0" w:firstLine="709"/>
        <w:jc w:val="left"/>
        <w:spacing w:before="0" w:after="0" w:line="360" w:lineRule="auto"/>
        <w:widowControl/>
        <w:tabs>
          <w:tab w:val="left" w:pos="142" w:leader="none"/>
          <w:tab w:val="clear" w:pos="709" w:leader="none"/>
          <w:tab w:val="left" w:pos="851" w:leader="none"/>
        </w:tabs>
      </w:pPr>
      <w:r>
        <w:rPr>
          <w:rStyle w:val="1995"/>
          <w:shd w:val="clear" w:color="auto" w:fill="auto"/>
        </w:rPr>
        <w:t xml:space="preserve">проверить положение «закрыто» для всей запорной арматуры;</w:t>
      </w:r>
      <w:r>
        <w:rPr>
          <w:rFonts w:ascii="Times New Roman" w:hAnsi="Times New Roman"/>
          <w:shd w:val="clear" w:color="auto" w:fill="auto"/>
        </w:rPr>
        <w:t xml:space="preserve"> </w:t>
      </w:r>
      <w:r/>
    </w:p>
    <w:p>
      <w:pPr>
        <w:pStyle w:val="2191"/>
        <w:numPr>
          <w:ilvl w:val="0"/>
          <w:numId w:val="24"/>
        </w:numPr>
        <w:contextualSpacing/>
        <w:ind w:left="0" w:firstLine="709"/>
        <w:jc w:val="left"/>
        <w:spacing w:before="0" w:after="0" w:line="360" w:lineRule="auto"/>
        <w:widowControl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ascii="Times New Roman" w:hAnsi="Times New Roman"/>
          <w:shd w:val="clear" w:color="auto" w:fill="auto"/>
        </w:rPr>
        <w:t xml:space="preserve">проверить надежность крепления фланцевых соединений на оборудовании КГС, ФА;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1"/>
        <w:numPr>
          <w:ilvl w:val="0"/>
          <w:numId w:val="24"/>
        </w:numPr>
        <w:contextualSpacing/>
        <w:ind w:left="0" w:firstLine="709"/>
        <w:jc w:val="left"/>
        <w:spacing w:before="0" w:after="0" w:line="360" w:lineRule="auto"/>
        <w:widowControl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ascii="Times New Roman" w:hAnsi="Times New Roman"/>
          <w:shd w:val="clear" w:color="auto" w:fill="auto"/>
        </w:rPr>
        <w:t xml:space="preserve">проверить отсутствие временных заглушек на рабочих участках трубопроводов;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1"/>
        <w:numPr>
          <w:ilvl w:val="0"/>
          <w:numId w:val="24"/>
        </w:numPr>
        <w:contextualSpacing/>
        <w:ind w:left="0" w:firstLine="709"/>
        <w:jc w:val="left"/>
        <w:spacing w:before="0" w:after="0" w:line="360" w:lineRule="auto"/>
        <w:widowControl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ascii="Times New Roman" w:hAnsi="Times New Roman"/>
          <w:shd w:val="clear" w:color="auto" w:fill="auto"/>
        </w:rPr>
        <w:t xml:space="preserve">открыть запорную арматуру перед манометрами, задействовать средства измерения давления, температуры, расхода.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1"/>
        <w:contextualSpacing/>
        <w:ind w:firstLine="709"/>
        <w:spacing w:before="0" w:after="0" w:line="360" w:lineRule="auto"/>
        <w:widowControl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ascii="Times New Roman" w:hAnsi="Times New Roman"/>
          <w:bCs/>
          <w:shd w:val="clear" w:color="auto" w:fill="auto"/>
        </w:rPr>
        <w:t xml:space="preserve">6.4.2 Пуск скважин на продувку ГФУ.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1"/>
        <w:contextualSpacing/>
        <w:ind w:firstLine="709"/>
        <w:spacing w:before="0" w:after="0" w:line="360" w:lineRule="auto"/>
        <w:widowControl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ascii="Times New Roman" w:hAnsi="Times New Roman"/>
          <w:shd w:val="clear" w:color="auto" w:fill="auto"/>
        </w:rPr>
        <w:t xml:space="preserve">Пуск скважин в работу производиться операторами по д.н.г. (фонд</w:t>
      </w:r>
      <w:r>
        <w:rPr>
          <w:rFonts w:ascii="Times New Roman" w:hAnsi="Times New Roman"/>
          <w:shd w:val="clear" w:color="auto" w:fill="auto"/>
        </w:rPr>
        <w:t xml:space="preserve">а скважин) ГП № после получения задания от мастера по д.н.г. и к. ГП №, продувку скважины осуществлять с отжигом газа на ГФУ куста. Открытие и закрытие задвижек на обвязке скважин, на фонтанных арматурах фиксируется в журнале работ, выполняемых на КГС.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Пуск одной скважины, на примере скважины №1 (Приложение Б), производится в следующей последовательности: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numPr>
          <w:ilvl w:val="0"/>
          <w:numId w:val="24"/>
        </w:numPr>
        <w:contextualSpacing/>
        <w:ind w:left="0" w:firstLine="709"/>
        <w:spacing w:before="60" w:after="6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перед пуском скважины производиться подача метанола в манифольд (открытием з</w:t>
      </w:r>
      <w:r>
        <w:rPr>
          <w:szCs w:val="24"/>
          <w:shd w:val="clear" w:color="auto" w:fill="auto"/>
        </w:rPr>
        <w:t xml:space="preserve">адвижки №1.18, клапана запорного №1.4, шаровых кранов №№1.8, 1.5)   или затрубье скважины (открытием задвижек №№1.18, 1.32, клапана запорного №1.3, шаровых кранов №№1.8, 1.5) (Приложение Б «Куст газовых скважин №1-10. Технологическая схема и схема КИПиА»);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numPr>
          <w:ilvl w:val="0"/>
          <w:numId w:val="24"/>
        </w:numPr>
        <w:contextualSpacing/>
        <w:ind w:left="0" w:firstLine="709"/>
        <w:spacing w:before="60" w:after="6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скважина запускается в факельную линию для отработки на ГФУ куста с целью очистки забоя скважины и призабойной зоны пласта от скопившейся жидкости, а также прогрева до рабочей температуры (вывода на рабочие параметры), путем открытия задвижек: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1. На струне фонтанной арматуры;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2. Факельной линии №1.13.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54"/>
        <w:numPr>
          <w:ilvl w:val="0"/>
          <w:numId w:val="0"/>
        </w:numPr>
        <w:ind w:left="0" w:right="0" w:firstLine="737"/>
        <w:jc w:val="both"/>
        <w:spacing w:before="0" w:after="0" w:line="360" w:lineRule="auto"/>
        <w:widowControl/>
        <w:rPr>
          <w:highlight w:val="none"/>
          <w:shd w:val="clear" w:color="auto" w:fill="auto"/>
        </w:rPr>
      </w:pPr>
      <w:r>
        <w:rPr>
          <w:rFonts w:eastAsia="Times New Roman" w:cs="Times New Roman"/>
          <w:color w:val="000000"/>
          <w:sz w:val="24"/>
          <w:szCs w:val="24"/>
          <w:shd w:val="clear" w:color="auto" w:fill="auto"/>
          <w:lang w:val="ru-RU" w:eastAsia="ru-RU" w:bidi="ar-SA"/>
        </w:rPr>
        <w:t xml:space="preserve">  </w:t>
      </w:r>
      <w:r>
        <w:rPr>
          <w:rFonts w:eastAsia="Times New Roman" w:cs="Times New Roman"/>
          <w:color w:val="000000"/>
          <w:sz w:val="24"/>
          <w:szCs w:val="24"/>
          <w:shd w:val="clear" w:color="auto" w:fill="auto"/>
          <w:lang w:val="ru-RU" w:eastAsia="ru-RU" w:bidi="ar-SA"/>
        </w:rPr>
        <w:t xml:space="preserve">Продувку скважины осуществлять с отжигом газа на факел. В летний пожароопасный период данные работы должны проводиться в присутствии представителей  ПСЧ №28.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 </w:t>
      </w:r>
      <w:r>
        <w:rPr>
          <w:szCs w:val="24"/>
          <w:shd w:val="clear" w:color="auto" w:fill="auto"/>
        </w:rPr>
        <w:t xml:space="preserve">Депрессия на пласт при отработке скважины р</w:t>
      </w:r>
      <w:r>
        <w:rPr>
          <w:szCs w:val="24"/>
          <w:shd w:val="clear" w:color="auto" w:fill="auto"/>
        </w:rPr>
        <w:t xml:space="preserve">егулируется клапаном-регулятором. Прогреть скважину до температуры газа на устье согласно технологического режима. При выводе скважины на рабочие параметры допускается превышение установленного допустимого технологического режима отдельной скважины на 10%;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После выхода параметров скважины по давлению и температуре в рабочий режим, перевезти работу скважины в шлейф: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numPr>
          <w:ilvl w:val="0"/>
          <w:numId w:val="31"/>
        </w:numPr>
        <w:contextualSpacing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Закрыть задвижку №1.13 факельной линии;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numPr>
          <w:ilvl w:val="0"/>
          <w:numId w:val="31"/>
        </w:numPr>
        <w:contextualSpacing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Набрать давление до величины, равной давлению в газосборном коллекторе;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numPr>
          <w:ilvl w:val="0"/>
          <w:numId w:val="31"/>
        </w:numPr>
        <w:contextualSpacing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Открыть задвижку №1.12 на манифольде.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bCs/>
          <w:szCs w:val="24"/>
          <w:shd w:val="clear" w:color="auto" w:fill="auto"/>
        </w:rPr>
        <w:t xml:space="preserve">6.4.3 Пуск скважин в работу (в технологию).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Пуск скважины в шлейф начинать с подачи газа в газосборный коллектор (далее – ГСК) от дальней (тупиковой) скважины куста, на примере скважины №6 (Приложение Б):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1. Осуществить подачу метанола в манифольд и затрубье скважины №6 (см.п.6.4.2);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2. Открыть задвижки №№ 6.38, 6.39 на струне фонтанной арматуры;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3. Открыть задвижку 1.12 на манифольде.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 </w:t>
      </w:r>
      <w:r>
        <w:rPr>
          <w:szCs w:val="24"/>
          <w:shd w:val="clear" w:color="auto" w:fill="auto"/>
        </w:rPr>
        <w:t xml:space="preserve">(Приложение Б «Куст газовых скважин №1-10. Технологическая схема и схема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0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 </w:t>
      </w:r>
      <w:r>
        <w:rPr>
          <w:szCs w:val="24"/>
          <w:shd w:val="clear" w:color="auto" w:fill="auto"/>
        </w:rPr>
        <w:t xml:space="preserve">КИПиА»).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Пуск остальных скважин куста в работу выполнять поочередно по той же схеме. Аналогично продуваются и заполняются газом шлейфы от всех кустов промысла.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1"/>
        <w:contextualSpacing/>
        <w:ind w:firstLine="709"/>
        <w:spacing w:before="0" w:after="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ascii="Times New Roman" w:hAnsi="Times New Roman"/>
          <w:shd w:val="clear" w:color="auto" w:fill="auto"/>
        </w:rPr>
        <w:t xml:space="preserve">Для предотвращения гидратного режима, при отработке шлейфов на факел и работу в технологию, следует осуществить подачу требуемого количества метанола на кусты.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1"/>
        <w:contextualSpacing/>
        <w:ind w:firstLine="709"/>
        <w:spacing w:before="48" w:after="48" w:line="360" w:lineRule="auto"/>
        <w:widowControl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ascii="Times New Roman" w:hAnsi="Times New Roman"/>
          <w:bCs/>
          <w:shd w:val="clear" w:color="auto" w:fill="auto"/>
        </w:rPr>
        <w:t xml:space="preserve">6.4.4 Остановка скважины.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1"/>
        <w:contextualSpacing/>
        <w:ind w:firstLine="709"/>
        <w:spacing w:before="0" w:after="0" w:line="360" w:lineRule="auto"/>
        <w:widowControl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ascii="Times New Roman" w:hAnsi="Times New Roman"/>
          <w:shd w:val="clear" w:color="auto" w:fill="auto"/>
        </w:rPr>
        <w:t xml:space="preserve">Останов</w:t>
      </w:r>
      <w:r>
        <w:rPr>
          <w:rFonts w:ascii="Times New Roman" w:hAnsi="Times New Roman"/>
          <w:shd w:val="clear" w:color="auto" w:fill="auto"/>
        </w:rPr>
        <w:t xml:space="preserve"> газовых скважин производится операторами по д.н.г. (фонда скважин) ГП</w:t>
        <w:noBreakHyphen/>
        <w:t xml:space="preserve"> после получения задания от мастера по д.н.г. и к. ГП-.  Открытие и закрытие задвижек в обвязке газовых скважин и фонтанной арматуре фиксируется в журнале работ, выполняемых на КГС.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Останов газовой скважины, на примере скважины №1 (Приложение Б) производится в следующей последовательности: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1. Перед остановкой газовой скважины прекращается подача метанола в манифольд и затрубье скважины закрытием, клапанов запорных №№1.3, 1.4, шаровых кранов №№1.8, 1.5 («Приложение Б «Куст газовых скважин №1-10. Технологическая схема и схема КИПиА»).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contextualSpacing/>
        <w:ind w:left="0"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2. Останов газовой скважины осуществляется закрытием рабочей задвижки №1.38 на струне фонтанной арматуры и задвижки на манифольде скважины №1.12 (Приложение Б «Куст газовых скважин №1-10. Технологическая схема и схема КИПиА»).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contextualSpacing/>
        <w:ind w:firstLine="709"/>
        <w:jc w:val="both"/>
        <w:spacing w:before="0" w:after="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Останов остальных газовых скважин куста производится в аналогичной последовательности.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999"/>
        <w:contextualSpacing/>
        <w:ind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</w:pPr>
      <w:r>
        <w:rPr>
          <w:rStyle w:val="1995"/>
          <w:bCs/>
          <w:shd w:val="clear" w:color="auto" w:fill="auto"/>
        </w:rPr>
        <w:t xml:space="preserve">6.4.5 Дополнительные мероприятия при пуске в зимнее время.</w:t>
      </w:r>
      <w:r/>
    </w:p>
    <w:p>
      <w:pPr>
        <w:pStyle w:val="1999"/>
        <w:contextualSpacing/>
        <w:ind w:firstLine="709"/>
        <w:spacing w:before="0" w:after="120" w:line="360" w:lineRule="auto"/>
        <w:tabs>
          <w:tab w:val="left" w:pos="142" w:leader="none"/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При пуске газовой скважин</w:t>
      </w:r>
      <w:r>
        <w:rPr>
          <w:szCs w:val="24"/>
          <w:shd w:val="clear" w:color="auto" w:fill="auto"/>
        </w:rPr>
        <w:t xml:space="preserve">ы в работу в период отрицательных температур запрещается отогревать оборудование открытым огнем. Отогрев производить с применением передвижной паровой депарафинизационной установки в соответствии с утвержденной Инструкцией по охране труда при работе с ППУ.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999"/>
        <w:contextualSpacing/>
        <w:ind w:firstLine="709"/>
        <w:spacing w:before="120" w:after="120" w:line="360" w:lineRule="auto"/>
        <w:tabs>
          <w:tab w:val="left" w:pos="142" w:leader="none"/>
          <w:tab w:val="clear" w:pos="709" w:leader="none"/>
          <w:tab w:val="left" w:pos="851" w:leader="none"/>
        </w:tabs>
      </w:pPr>
      <w:r>
        <w:rPr>
          <w:rStyle w:val="1995"/>
          <w:shd w:val="clear" w:color="auto" w:fill="auto"/>
        </w:rPr>
        <w:t xml:space="preserve">При останове газовой скважины на длительное время производиться закачка метанола агрегатом АНЦ в скважину и при необходимости в газопровод-шлейф. При ликвидаци</w:t>
      </w:r>
      <w:r>
        <w:rPr>
          <w:rStyle w:val="1995"/>
          <w:shd w:val="clear" w:color="auto" w:fill="auto"/>
        </w:rPr>
        <w:t xml:space="preserve">и гидратных пробок в обвязках скважин, колонне НКТ, ГСК, ГШ применяется ингибитор гидратообразования. Работы с агрегатом АНЦ проводить согласно Инструкции по охране труда при работе с цементировочным агрегатом и насосной установкой для кислотной обработки.</w:t>
      </w:r>
      <w:r/>
    </w:p>
    <w:p>
      <w:pPr>
        <w:pStyle w:val="1999"/>
        <w:ind w:firstLine="709"/>
        <w:spacing w:line="360" w:lineRule="auto"/>
        <w:rPr>
          <w:highlight w:val="none"/>
          <w:shd w:val="clear" w:color="auto" w:fill="auto"/>
        </w:rPr>
      </w:pPr>
      <w:r>
        <w:rPr>
          <w:b/>
          <w:szCs w:val="24"/>
          <w:shd w:val="clear" w:color="auto" w:fill="auto"/>
        </w:rPr>
        <w:t xml:space="preserve">6.5 Меры безопасности при выводе оборудования в ремонт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999"/>
        <w:ind w:firstLine="709"/>
        <w:spacing w:line="360" w:lineRule="auto"/>
      </w:pPr>
      <w:r>
        <w:rPr>
          <w:szCs w:val="24"/>
          <w:shd w:val="clear" w:color="auto" w:fill="auto"/>
        </w:rPr>
        <w:t xml:space="preserve">6.5.1 Работы по подготовке оборудования к проведению ремонтных работ, </w:t>
      </w:r>
      <w:r>
        <w:rPr>
          <w:rStyle w:val="1995"/>
          <w:shd w:val="clear" w:color="auto" w:fill="auto"/>
        </w:rPr>
        <w:t xml:space="preserve">связанных с его разгерметизацией, должны проводиться эксплуатационным персоналом ГП по утвержденному наряду-допуску. </w:t>
      </w:r>
      <w:r/>
    </w:p>
    <w:p>
      <w:pPr>
        <w:pStyle w:val="2171"/>
        <w:contextualSpacing/>
        <w:ind w:left="0" w:firstLine="709"/>
        <w:jc w:val="both"/>
        <w:spacing w:before="0" w:after="0" w:line="360" w:lineRule="auto"/>
        <w:tabs>
          <w:tab w:val="left" w:pos="0" w:leader="none"/>
          <w:tab w:val="clear" w:pos="709" w:leader="none"/>
        </w:tabs>
      </w:pPr>
      <w:r>
        <w:rPr>
          <w:rStyle w:val="1995"/>
          <w:b w:val="0"/>
          <w:bCs/>
          <w:shd w:val="clear" w:color="auto" w:fill="auto"/>
        </w:rPr>
        <w:t xml:space="preserve">6.5.2 Не допускается проведение ремонта оборудования фонда скважин, наход</w:t>
      </w:r>
      <w:r>
        <w:rPr>
          <w:rStyle w:val="1995"/>
          <w:b w:val="0"/>
          <w:bCs/>
          <w:shd w:val="clear" w:color="auto" w:fill="auto"/>
        </w:rPr>
        <w:t xml:space="preserve">ящегося под давлением. В целях обеспечения безопасности при ремонте оборудования, связанного с его разгерметизацией, до начала работ следует отделить данное оборудование заглушками или отсоединить от другого оборудования, находящегося в общей обвязке КГС. </w:t>
      </w:r>
      <w:r/>
    </w:p>
    <w:p>
      <w:pPr>
        <w:pStyle w:val="1999"/>
        <w:ind w:firstLine="709"/>
        <w:spacing w:line="360" w:lineRule="auto"/>
      </w:pPr>
      <w:r>
        <w:rPr>
          <w:rStyle w:val="1995"/>
          <w:shd w:val="clear" w:color="auto" w:fill="auto"/>
        </w:rPr>
        <w:t xml:space="preserve">6.5.3 Допускаются к применению </w:t>
      </w:r>
      <w:r>
        <w:rPr>
          <w:rStyle w:val="1995"/>
          <w:shd w:val="clear" w:color="auto" w:fill="auto"/>
        </w:rPr>
        <w:t xml:space="preserve">для отключения трубопровода только заглушки, соответствующие по Ду и Ру, устанавливаемые между фланцами и имеющие выступающую часть (хвостовик), по которой определяют наличие заглушки. При установке прокладок между фланцами они должны быть без хвостовиков.</w:t>
      </w:r>
      <w:r/>
    </w:p>
    <w:p>
      <w:pPr>
        <w:pStyle w:val="1889"/>
        <w:ind w:firstLine="709"/>
        <w:spacing w:before="120" w:after="120" w:line="360" w:lineRule="auto"/>
        <w:rPr>
          <w:highlight w:val="none"/>
          <w:shd w:val="clear" w:color="auto" w:fill="auto"/>
        </w:rPr>
      </w:pPr>
      <w:r>
        <w:rPr>
          <w:b/>
          <w:sz w:val="24"/>
          <w:szCs w:val="24"/>
          <w:shd w:val="clear" w:color="auto" w:fill="auto"/>
        </w:rPr>
        <w:t xml:space="preserve">6.6 Случаи, требующие немедленной остановки скважины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1"/>
        <w:ind w:firstLine="709"/>
        <w:spacing w:line="360" w:lineRule="auto"/>
        <w:widowControl/>
      </w:pPr>
      <w:r>
        <w:rPr>
          <w:rFonts w:ascii="Times New Roman" w:hAnsi="Times New Roman"/>
          <w:shd w:val="clear" w:color="auto" w:fill="auto"/>
        </w:rPr>
        <w:t xml:space="preserve">Скважина </w:t>
      </w:r>
      <w:r>
        <w:rPr>
          <w:rStyle w:val="1995"/>
          <w:shd w:val="clear" w:color="auto" w:fill="auto"/>
        </w:rPr>
        <w:t xml:space="preserve">должна быть немедленно остановлена в случаях:</w:t>
      </w:r>
      <w:r/>
    </w:p>
    <w:p>
      <w:pPr>
        <w:pStyle w:val="2191"/>
        <w:numPr>
          <w:ilvl w:val="0"/>
          <w:numId w:val="19"/>
        </w:numPr>
        <w:ind w:left="0" w:firstLine="709"/>
        <w:spacing w:line="360" w:lineRule="auto"/>
        <w:widowControl/>
      </w:pPr>
      <w:r>
        <w:rPr>
          <w:rStyle w:val="1995"/>
          <w:shd w:val="clear" w:color="auto" w:fill="auto"/>
        </w:rPr>
        <w:t xml:space="preserve">негерметичности оборудования устья скважины (выше коренной задвижки);</w:t>
      </w:r>
      <w:r/>
    </w:p>
    <w:p>
      <w:pPr>
        <w:pStyle w:val="2191"/>
        <w:numPr>
          <w:ilvl w:val="0"/>
          <w:numId w:val="19"/>
        </w:numPr>
        <w:ind w:left="0" w:firstLine="709"/>
        <w:spacing w:line="360" w:lineRule="auto"/>
        <w:widowControl/>
      </w:pPr>
      <w:r>
        <w:rPr>
          <w:rStyle w:val="1995"/>
          <w:shd w:val="clear" w:color="auto" w:fill="auto"/>
        </w:rPr>
        <w:t xml:space="preserve">негерметичности обвязки;</w:t>
      </w:r>
      <w:r/>
    </w:p>
    <w:p>
      <w:pPr>
        <w:pStyle w:val="2191"/>
        <w:numPr>
          <w:ilvl w:val="0"/>
          <w:numId w:val="19"/>
        </w:numPr>
        <w:ind w:left="709" w:firstLine="0"/>
        <w:spacing w:line="360" w:lineRule="auto"/>
      </w:pPr>
      <w:r>
        <w:rPr>
          <w:rStyle w:val="1995"/>
          <w:shd w:val="clear" w:color="auto" w:fill="auto"/>
        </w:rPr>
        <w:t xml:space="preserve">возникновении пожара, непосредственно угрожающего оборудованию скважины и обвязке КГС.</w:t>
      </w:r>
      <w:r/>
    </w:p>
    <w:p>
      <w:pPr>
        <w:pStyle w:val="1889"/>
        <w:ind w:firstLine="709"/>
        <w:spacing w:line="360" w:lineRule="auto"/>
        <w:tabs>
          <w:tab w:val="left" w:pos="142" w:leader="none"/>
          <w:tab w:val="left" w:pos="426" w:leader="none"/>
          <w:tab w:val="clear" w:pos="709" w:leader="none"/>
        </w:tabs>
        <w:rPr>
          <w:highlight w:val="none"/>
          <w:shd w:val="clear" w:color="auto" w:fill="auto"/>
        </w:rPr>
      </w:pPr>
      <w:r>
        <w:rPr>
          <w:b/>
          <w:sz w:val="24"/>
          <w:szCs w:val="24"/>
          <w:shd w:val="clear" w:color="auto" w:fill="auto"/>
        </w:rPr>
        <w:t xml:space="preserve">6.7 Действия персонала при ликвидации аварийных ситуаций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ind w:firstLine="709"/>
        <w:spacing w:before="120" w:after="120" w:line="360" w:lineRule="auto"/>
        <w:tabs>
          <w:tab w:val="left" w:pos="709" w:leader="none"/>
        </w:tabs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При обнаружении факта аварии – незамедлительно сообщить оператору пульта управления ГП-: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1"/>
        <w:numPr>
          <w:ilvl w:val="0"/>
          <w:numId w:val="22"/>
        </w:numPr>
        <w:ind w:left="-142" w:firstLine="567"/>
        <w:spacing w:line="360" w:lineRule="auto"/>
        <w:widowControl/>
      </w:pPr>
      <w:r>
        <w:rPr>
          <w:rFonts w:ascii="Times New Roman" w:hAnsi="Times New Roman"/>
          <w:shd w:val="clear" w:color="auto" w:fill="auto"/>
        </w:rPr>
        <w:t xml:space="preserve">по </w:t>
      </w:r>
      <w:r>
        <w:rPr>
          <w:rStyle w:val="1995"/>
          <w:shd w:val="clear" w:color="auto" w:fill="auto"/>
        </w:rPr>
        <w:t xml:space="preserve">телефонам</w:t>
      </w:r>
      <w:r>
        <w:rPr>
          <w:rFonts w:ascii="Times New Roman" w:hAnsi="Times New Roman"/>
          <w:shd w:val="clear" w:color="auto" w:fill="auto"/>
        </w:rPr>
        <w:t xml:space="preserve">: 6-34-55; 6-08-51;</w:t>
      </w:r>
      <w:r/>
    </w:p>
    <w:p>
      <w:pPr>
        <w:pStyle w:val="2191"/>
        <w:numPr>
          <w:ilvl w:val="0"/>
          <w:numId w:val="22"/>
        </w:numPr>
        <w:ind w:left="-142" w:firstLine="567"/>
        <w:spacing w:line="360" w:lineRule="auto"/>
        <w:widowControl/>
      </w:pPr>
      <w:r>
        <w:rPr>
          <w:rStyle w:val="1995"/>
          <w:shd w:val="clear" w:color="auto" w:fill="auto"/>
        </w:rPr>
        <w:t xml:space="preserve">либо</w:t>
      </w:r>
      <w:r>
        <w:rPr>
          <w:rFonts w:ascii="Times New Roman" w:hAnsi="Times New Roman"/>
          <w:shd w:val="clear" w:color="auto" w:fill="auto"/>
        </w:rPr>
        <w:t xml:space="preserve"> по радиосвязи </w:t>
      </w:r>
      <w:r>
        <w:rPr>
          <w:rFonts w:ascii="Times New Roman" w:hAnsi="Times New Roman" w:eastAsia="Calibri"/>
          <w:shd w:val="clear" w:color="auto" w:fill="auto"/>
          <w:lang w:eastAsia="en-US"/>
        </w:rPr>
        <w:t xml:space="preserve">(лицо, обнаружившее факт аварии.)</w:t>
      </w:r>
      <w:r/>
    </w:p>
    <w:p>
      <w:pPr>
        <w:pStyle w:val="1889"/>
        <w:ind w:left="-142" w:firstLine="567"/>
        <w:jc w:val="both"/>
        <w:spacing w:line="360" w:lineRule="auto"/>
        <w:tabs>
          <w:tab w:val="left" w:pos="709" w:leader="none"/>
        </w:tabs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</w:rPr>
        <w:t xml:space="preserve">При получении информации об аварии оператор по д.н.г. сообщает: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1"/>
        <w:numPr>
          <w:ilvl w:val="0"/>
          <w:numId w:val="23"/>
        </w:numPr>
        <w:ind w:left="-142" w:firstLine="567"/>
        <w:spacing w:line="360" w:lineRule="auto"/>
        <w:widowControl/>
      </w:pPr>
      <w:r>
        <w:rPr>
          <w:rStyle w:val="1995"/>
          <w:shd w:val="clear" w:color="auto" w:fill="auto"/>
        </w:rPr>
        <w:t xml:space="preserve">мастеру д.н.г. и к. ГП-, или лицу, его замещающему: тел. 6-08-76.</w:t>
      </w:r>
      <w:r/>
    </w:p>
    <w:p>
      <w:pPr>
        <w:pStyle w:val="2191"/>
        <w:numPr>
          <w:ilvl w:val="0"/>
          <w:numId w:val="23"/>
        </w:numPr>
        <w:ind w:left="-142" w:firstLine="567"/>
        <w:spacing w:line="360" w:lineRule="auto"/>
        <w:widowControl/>
      </w:pPr>
      <w:r>
        <w:rPr>
          <w:rStyle w:val="1995"/>
          <w:shd w:val="clear" w:color="auto" w:fill="auto"/>
        </w:rPr>
        <w:t xml:space="preserve">начальнику ГП-, или лицу, его замещающему: тел. 6-34-51, 6-34-52, 6-34-53;</w:t>
      </w:r>
      <w:r/>
    </w:p>
    <w:p>
      <w:pPr>
        <w:pStyle w:val="2191"/>
        <w:numPr>
          <w:ilvl w:val="0"/>
          <w:numId w:val="23"/>
        </w:numPr>
        <w:ind w:left="-142" w:firstLine="567"/>
        <w:spacing w:line="360" w:lineRule="auto"/>
        <w:widowControl/>
      </w:pPr>
      <w:r>
        <w:rPr>
          <w:rStyle w:val="1995"/>
          <w:shd w:val="clear" w:color="auto" w:fill="auto"/>
        </w:rPr>
        <w:t xml:space="preserve">диспетчеру ПДС по тел. 6-20-30, 6-20-02;</w:t>
      </w:r>
      <w:r/>
    </w:p>
    <w:p>
      <w:pPr>
        <w:pStyle w:val="2191"/>
        <w:numPr>
          <w:ilvl w:val="0"/>
          <w:numId w:val="23"/>
        </w:numPr>
        <w:ind w:left="-142" w:firstLine="567"/>
        <w:spacing w:line="360" w:lineRule="auto"/>
        <w:widowControl/>
      </w:pPr>
      <w:r>
        <w:rPr>
          <w:rStyle w:val="1995"/>
          <w:shd w:val="clear" w:color="auto" w:fill="auto"/>
        </w:rPr>
        <w:t xml:space="preserve">ПСЧ №28 по тел. 01; 6-46-00 (при возникновении пожара, вызов пожарной охраны производится в первую очередь);</w:t>
      </w:r>
      <w:r/>
    </w:p>
    <w:p>
      <w:pPr>
        <w:pStyle w:val="2191"/>
        <w:numPr>
          <w:ilvl w:val="0"/>
          <w:numId w:val="23"/>
        </w:numPr>
        <w:ind w:left="-142" w:firstLine="567"/>
        <w:spacing w:line="360" w:lineRule="auto"/>
        <w:widowControl/>
      </w:pPr>
      <w:r>
        <w:rPr>
          <w:rStyle w:val="1995"/>
          <w:shd w:val="clear" w:color="auto" w:fill="auto"/>
        </w:rPr>
        <w:t xml:space="preserve">дежурному МСЧ по тел. 03 (при необходимости);</w:t>
      </w:r>
      <w:r/>
    </w:p>
    <w:p>
      <w:pPr>
        <w:pStyle w:val="2191"/>
        <w:numPr>
          <w:ilvl w:val="0"/>
          <w:numId w:val="23"/>
        </w:numPr>
        <w:ind w:left="-142" w:firstLine="567"/>
        <w:spacing w:line="360" w:lineRule="auto"/>
        <w:widowControl/>
      </w:pPr>
      <w:r>
        <w:rPr>
          <w:rStyle w:val="1995"/>
          <w:shd w:val="clear" w:color="auto" w:fill="auto"/>
        </w:rPr>
        <w:t xml:space="preserve">оповестить членов ДПД по радио и телефонной связи (при необходимости);</w:t>
      </w:r>
      <w:r/>
    </w:p>
    <w:p>
      <w:pPr>
        <w:pStyle w:val="2191"/>
        <w:numPr>
          <w:ilvl w:val="0"/>
          <w:numId w:val="23"/>
        </w:numPr>
        <w:ind w:left="-142" w:firstLine="567"/>
        <w:spacing w:line="360" w:lineRule="auto"/>
        <w:widowControl/>
      </w:pPr>
      <w:r>
        <w:rPr>
          <w:rStyle w:val="1995"/>
          <w:shd w:val="clear" w:color="auto" w:fill="auto"/>
        </w:rPr>
        <w:t xml:space="preserve">оповестить персонал ГП- путём запуска системы оповещения людей о пожаре или по радио и телефонной связи.</w:t>
      </w:r>
      <w:r/>
    </w:p>
    <w:p>
      <w:pPr>
        <w:pStyle w:val="1889"/>
        <w:ind w:firstLine="709"/>
        <w:jc w:val="both"/>
        <w:spacing w:line="360" w:lineRule="auto"/>
      </w:pPr>
      <w:r>
        <w:rPr>
          <w:rStyle w:val="1995"/>
          <w:shd w:val="clear" w:color="auto" w:fill="auto"/>
        </w:rPr>
        <w:t xml:space="preserve">При возникновении аварийной ситуации обслуживающий персонал должен действовать согласно «Плану мероприятий по локализации и ликвидации последствий аварий» на ОПО ГП- ф. Филиал .</w:t>
      </w:r>
      <w:r/>
    </w:p>
    <w:p>
      <w:pPr>
        <w:pStyle w:val="1889"/>
        <w:ind w:firstLine="709"/>
        <w:spacing w:before="120" w:after="120" w:line="360" w:lineRule="auto"/>
        <w:rPr>
          <w:highlight w:val="none"/>
          <w:shd w:val="clear" w:color="auto" w:fill="auto"/>
        </w:rPr>
      </w:pPr>
      <w:r>
        <w:rPr>
          <w:b/>
          <w:sz w:val="24"/>
          <w:szCs w:val="24"/>
          <w:shd w:val="clear" w:color="auto" w:fill="auto"/>
        </w:rPr>
        <w:t xml:space="preserve">6.8 Порядок ведения документации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91"/>
        <w:ind w:firstLine="709"/>
        <w:spacing w:line="360" w:lineRule="auto"/>
        <w:widowControl/>
        <w:rPr>
          <w:highlight w:val="none"/>
          <w:shd w:val="clear" w:color="auto" w:fill="auto"/>
        </w:rPr>
      </w:pPr>
      <w:r>
        <w:rPr>
          <w:rFonts w:ascii="Times New Roman" w:hAnsi="Times New Roman"/>
          <w:shd w:val="clear" w:color="auto" w:fill="auto"/>
        </w:rPr>
        <w:t xml:space="preserve">Персонал ГП, обслуживающий фонд скважин, приступая к работе, обязан получить задание и расписаться в журнале выдачи задания.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ind w:firstLine="709"/>
        <w:jc w:val="both"/>
        <w:spacing w:line="360" w:lineRule="auto"/>
        <w:rPr>
          <w:highlight w:val="none"/>
          <w:shd w:val="clear" w:color="auto" w:fill="auto"/>
        </w:rPr>
      </w:pPr>
      <w:r>
        <w:rPr>
          <w:rFonts w:eastAsia="Calibri"/>
          <w:sz w:val="24"/>
          <w:szCs w:val="24"/>
          <w:shd w:val="clear" w:color="auto" w:fill="auto"/>
          <w:lang w:eastAsia="en-US"/>
        </w:rPr>
        <w:t xml:space="preserve">Объезды, обслуживание оборудования фонда скважин, обслуживание и проверки на срабатывания предохранительных устройств производятся в соответствии с утвержденными графиками.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ind w:firstLine="709"/>
        <w:jc w:val="both"/>
        <w:spacing w:line="360" w:lineRule="auto"/>
        <w:rPr>
          <w:highlight w:val="none"/>
          <w:shd w:val="clear" w:color="auto" w:fill="auto"/>
        </w:rPr>
      </w:pPr>
      <w:r>
        <w:rPr>
          <w:rFonts w:eastAsia="Calibri"/>
          <w:sz w:val="24"/>
          <w:szCs w:val="24"/>
          <w:shd w:val="clear" w:color="auto" w:fill="auto"/>
          <w:lang w:eastAsia="en-US"/>
        </w:rPr>
        <w:t xml:space="preserve">Остановки оборудования фонда скважин, а также все технологические переключения должны фиксироваться в журнале учета работ по фонду скважин.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ind w:firstLine="709"/>
        <w:jc w:val="both"/>
        <w:spacing w:before="0" w:after="120" w:line="360" w:lineRule="auto"/>
        <w:rPr>
          <w:highlight w:val="none"/>
          <w:shd w:val="clear" w:color="auto" w:fill="auto"/>
        </w:rPr>
      </w:pPr>
      <w:r>
        <w:rPr>
          <w:rFonts w:eastAsia="Calibri"/>
          <w:sz w:val="24"/>
          <w:szCs w:val="24"/>
          <w:shd w:val="clear" w:color="auto" w:fill="auto"/>
          <w:lang w:eastAsia="en-US"/>
        </w:rPr>
        <w:t xml:space="preserve">Руководители и специалисты (ответственные за исправное состояние и безопасную эксплуатацию оборудования) ежесменно производят ознакомление с записями в сменном (вахтовом) журнале ГП под роспись.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ind w:firstLine="709"/>
        <w:jc w:val="both"/>
        <w:spacing w:before="0" w:after="120" w:line="360" w:lineRule="auto"/>
      </w:pPr>
      <w:r/>
      <w:bookmarkStart w:id="111" w:name="_Toc184727310_Копия_1"/>
      <w:r/>
      <w:bookmarkStart w:id="112" w:name="_Toc385517757"/>
      <w:r/>
      <w:bookmarkStart w:id="113" w:name="_Toc13992430"/>
      <w:r/>
      <w:bookmarkStart w:id="114" w:name="_Toc184786973_Копия_1"/>
      <w:r/>
      <w:bookmarkStart w:id="115" w:name="_Toc184800450_Копия_1"/>
      <w:r/>
      <w:bookmarkStart w:id="116" w:name="_Toc184786799_Копия_1"/>
      <w:r/>
      <w:bookmarkStart w:id="117" w:name="_Toc389464428"/>
      <w:r/>
      <w:bookmarkEnd w:id="111"/>
      <w:r/>
      <w:bookmarkEnd w:id="114"/>
      <w:r/>
      <w:bookmarkEnd w:id="115"/>
      <w:r/>
      <w:bookmarkEnd w:id="116"/>
      <w:r>
        <w:rPr>
          <w:rStyle w:val="1940"/>
          <w:shd w:val="clear" w:color="auto" w:fill="auto"/>
        </w:rPr>
        <w:t xml:space="preserve">7 БЕЗОПАСНАЯ ЭКСПЛУАТАЦИЯ ПРОИЗВОДСТВ</w:t>
      </w:r>
      <w:bookmarkEnd w:id="112"/>
      <w:r/>
      <w:bookmarkEnd w:id="113"/>
      <w:r/>
      <w:bookmarkEnd w:id="117"/>
      <w:r>
        <w:rPr>
          <w:rStyle w:val="1940"/>
          <w:shd w:val="clear" w:color="auto" w:fill="auto"/>
        </w:rPr>
        <w:t xml:space="preserve">ЕННОГО ОБЪЕКТА</w:t>
      </w:r>
      <w:r/>
    </w:p>
    <w:p>
      <w:pPr>
        <w:pStyle w:val="2054"/>
        <w:numPr>
          <w:ilvl w:val="0"/>
          <w:numId w:val="0"/>
        </w:numPr>
        <w:ind w:left="0" w:firstLine="709"/>
        <w:spacing w:before="0" w:after="0" w:line="360" w:lineRule="auto"/>
        <w:widowControl w:val="off"/>
        <w:rPr>
          <w:highlight w:val="none"/>
          <w:shd w:val="clear" w:color="auto" w:fill="auto"/>
        </w:rPr>
      </w:pPr>
      <w:r>
        <w:rPr>
          <w:position w:val="-2"/>
          <w:shd w:val="clear" w:color="auto" w:fill="auto"/>
        </w:rPr>
        <w:t xml:space="preserve">Дл</w:t>
      </w:r>
      <w:r>
        <w:rPr>
          <w:position w:val="-2"/>
          <w:shd w:val="clear" w:color="auto" w:fill="auto"/>
        </w:rPr>
        <w:t xml:space="preserve">я безопасного ведения технологических процессов необходимо строго руководствоваться Федеральным законом №116 «О промышленной безопасности опасных производственных объектов» от 21.07.97 года, Федеральными нормами и правилами в области промышленной безопасно</w:t>
      </w:r>
      <w:r>
        <w:rPr>
          <w:position w:val="-2"/>
          <w:shd w:val="clear" w:color="auto" w:fill="auto"/>
        </w:rPr>
        <w:t xml:space="preserve">сти «Правила безопасности в нефтяной и газовой промышленности», производственными инструкциями, правилами и инструкциями по охране труда по профессиям и видам работ, по безопасной эксплуатации оборудования, действующими на ГП и представленными в разделе 12</w:t>
      </w:r>
      <w:r>
        <w:rPr>
          <w:shd w:val="clear" w:color="auto" w:fill="auto"/>
        </w:rPr>
        <w:t xml:space="preserve">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highlight w:val="none"/>
          <w:shd w:val="clear" w:color="auto" w:fill="auto"/>
        </w:rPr>
      </w:pPr>
      <w:r/>
      <w:bookmarkStart w:id="118" w:name="_Toc184800451"/>
      <w:r/>
      <w:bookmarkStart w:id="119" w:name="_Toc385517758"/>
      <w:r/>
      <w:bookmarkStart w:id="120" w:name="_Toc389464429"/>
      <w:r/>
      <w:bookmarkStart w:id="121" w:name="_Toc184727311"/>
      <w:r/>
      <w:bookmarkStart w:id="122" w:name="_Toc385183285"/>
      <w:r/>
      <w:bookmarkStart w:id="123" w:name="_Toc385183422"/>
      <w:r/>
      <w:bookmarkStart w:id="124" w:name="_Toc385427495"/>
      <w:r/>
      <w:bookmarkStart w:id="125" w:name="_Toc385183525"/>
      <w:r/>
      <w:bookmarkStart w:id="126" w:name="_Toc13992431"/>
      <w:r/>
      <w:bookmarkStart w:id="127" w:name="_Toc184786800"/>
      <w:r/>
      <w:bookmarkStart w:id="128" w:name="_Toc184786974"/>
      <w:r>
        <w:rPr>
          <w:b/>
          <w:shd w:val="clear" w:color="auto" w:fill="auto"/>
        </w:rPr>
        <w:t xml:space="preserve">7.1 Характеристики опасностей производства</w:t>
      </w:r>
      <w:bookmarkEnd w:id="118"/>
      <w:r/>
      <w:bookmarkEnd w:id="119"/>
      <w:r/>
      <w:bookmarkEnd w:id="120"/>
      <w:r/>
      <w:bookmarkEnd w:id="121"/>
      <w:r/>
      <w:bookmarkEnd w:id="122"/>
      <w:r/>
      <w:bookmarkEnd w:id="123"/>
      <w:r/>
      <w:bookmarkEnd w:id="124"/>
      <w:r/>
      <w:bookmarkEnd w:id="125"/>
      <w:r/>
      <w:bookmarkEnd w:id="126"/>
      <w:r/>
      <w:bookmarkEnd w:id="127"/>
      <w:r/>
      <w:bookmarkEnd w:id="128"/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54"/>
        <w:numPr>
          <w:ilvl w:val="0"/>
          <w:numId w:val="0"/>
        </w:numPr>
        <w:ind w:left="0" w:firstLine="709"/>
        <w:spacing w:before="0" w:after="0" w:line="360" w:lineRule="auto"/>
        <w:widowControl w:val="off"/>
        <w:rPr>
          <w:highlight w:val="none"/>
          <w:shd w:val="clear" w:color="auto" w:fill="auto"/>
        </w:rPr>
      </w:pPr>
      <w:r>
        <w:rPr>
          <w:color w:val="000000"/>
          <w:shd w:val="clear" w:color="auto" w:fill="auto"/>
        </w:rPr>
        <w:t xml:space="preserve">7.1.1 Опасность для обслуживающего персонала на ОПО фондов скважин ГП- Заполярного НГКМ обусловлена следующими факторами: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54"/>
        <w:numPr>
          <w:ilvl w:val="0"/>
          <w:numId w:val="14"/>
        </w:numPr>
        <w:ind w:left="0" w:firstLine="709"/>
        <w:spacing w:before="0" w:after="0" w:line="360" w:lineRule="auto"/>
        <w:rPr>
          <w:highlight w:val="none"/>
          <w:shd w:val="clear" w:color="auto" w:fill="auto"/>
        </w:rPr>
      </w:pPr>
      <w:r>
        <w:rPr>
          <w:shd w:val="clear" w:color="auto" w:fill="auto"/>
        </w:rPr>
        <w:t xml:space="preserve">необходимостью обслуживания оборудования, находящегося под давлением и содержащим пожароопасные вещества;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54"/>
        <w:numPr>
          <w:ilvl w:val="0"/>
          <w:numId w:val="14"/>
        </w:numPr>
        <w:ind w:left="0" w:firstLine="709"/>
        <w:spacing w:before="0" w:after="0" w:line="360" w:lineRule="auto"/>
        <w:rPr>
          <w:highlight w:val="none"/>
          <w:shd w:val="clear" w:color="auto" w:fill="auto"/>
        </w:rPr>
      </w:pPr>
      <w:r>
        <w:rPr>
          <w:shd w:val="clear" w:color="auto" w:fill="auto"/>
        </w:rPr>
        <w:t xml:space="preserve">наличием фланцевых соединений, сварных стыков - наиболее вероятных мест утечек взрывопожароопасных продуктов;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54"/>
        <w:numPr>
          <w:ilvl w:val="0"/>
          <w:numId w:val="14"/>
        </w:numPr>
        <w:ind w:left="0" w:firstLine="709"/>
        <w:spacing w:before="0" w:after="0" w:line="360" w:lineRule="auto"/>
        <w:rPr>
          <w:highlight w:val="none"/>
          <w:shd w:val="clear" w:color="auto" w:fill="auto"/>
        </w:rPr>
      </w:pPr>
      <w:r>
        <w:rPr>
          <w:shd w:val="clear" w:color="auto" w:fill="auto"/>
        </w:rPr>
        <w:t xml:space="preserve">применением в процессах легковоспламеняющихся и горючих веществ, взрыво - и пожароопасных продуктов;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54"/>
        <w:numPr>
          <w:ilvl w:val="0"/>
          <w:numId w:val="14"/>
        </w:numPr>
        <w:ind w:left="0" w:firstLine="709"/>
        <w:spacing w:before="0" w:after="0" w:line="360" w:lineRule="auto"/>
        <w:rPr>
          <w:highlight w:val="none"/>
          <w:shd w:val="clear" w:color="auto" w:fill="auto"/>
        </w:rPr>
      </w:pPr>
      <w:r>
        <w:rPr>
          <w:shd w:val="clear" w:color="auto" w:fill="auto"/>
        </w:rPr>
        <w:t xml:space="preserve">необходимостью обслуживания оборудования при неблагоприятных метеорологических условиях и условиях недостаточной освещенности;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numPr>
          <w:ilvl w:val="0"/>
          <w:numId w:val="14"/>
        </w:numPr>
        <w:ind w:left="0" w:firstLine="709"/>
        <w:spacing w:before="0" w:after="0" w:line="360" w:lineRule="auto"/>
        <w:widowControl w:val="off"/>
        <w:rPr>
          <w:highlight w:val="none"/>
          <w:shd w:val="clear" w:color="auto" w:fill="auto"/>
        </w:rPr>
      </w:pPr>
      <w:r>
        <w:rPr>
          <w:shd w:val="clear" w:color="auto" w:fill="auto"/>
        </w:rPr>
        <w:t xml:space="preserve">необходимостью проведения газоопасных работ на действующем технологическом оборудовании;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numPr>
          <w:ilvl w:val="0"/>
          <w:numId w:val="14"/>
        </w:numPr>
        <w:ind w:left="0" w:firstLine="709"/>
        <w:spacing w:before="0" w:after="0" w:line="360" w:lineRule="auto"/>
        <w:widowControl w:val="off"/>
        <w:rPr>
          <w:highlight w:val="none"/>
          <w:shd w:val="clear" w:color="auto" w:fill="auto"/>
        </w:rPr>
      </w:pPr>
      <w:r>
        <w:rPr>
          <w:shd w:val="clear" w:color="auto" w:fill="auto"/>
        </w:rPr>
        <w:t xml:space="preserve">необходимостью проведения огневых работ на площадках КГС;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numPr>
          <w:ilvl w:val="0"/>
          <w:numId w:val="14"/>
        </w:numPr>
        <w:ind w:left="0" w:firstLine="709"/>
        <w:spacing w:before="0" w:after="0" w:line="360" w:lineRule="auto"/>
        <w:widowControl w:val="off"/>
        <w:rPr>
          <w:highlight w:val="none"/>
          <w:shd w:val="clear" w:color="auto" w:fill="auto"/>
        </w:rPr>
      </w:pPr>
      <w:r>
        <w:rPr>
          <w:shd w:val="clear" w:color="auto" w:fill="auto"/>
        </w:rPr>
        <w:t xml:space="preserve">наличием движущихся машин и спецтехники;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54"/>
        <w:numPr>
          <w:ilvl w:val="0"/>
          <w:numId w:val="14"/>
        </w:numPr>
        <w:ind w:left="0" w:firstLine="709"/>
        <w:spacing w:before="0" w:after="0" w:line="360" w:lineRule="auto"/>
        <w:rPr>
          <w:highlight w:val="none"/>
          <w:shd w:val="clear" w:color="auto" w:fill="auto"/>
        </w:rPr>
      </w:pPr>
      <w:r>
        <w:rPr>
          <w:shd w:val="clear" w:color="auto" w:fill="auto"/>
        </w:rPr>
        <w:t xml:space="preserve">наличием вибрации и шума;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54"/>
        <w:numPr>
          <w:ilvl w:val="0"/>
          <w:numId w:val="14"/>
        </w:numPr>
        <w:ind w:left="0" w:firstLine="709"/>
        <w:spacing w:before="0" w:after="0" w:line="360" w:lineRule="auto"/>
        <w:rPr>
          <w:highlight w:val="none"/>
          <w:shd w:val="clear" w:color="auto" w:fill="auto"/>
        </w:rPr>
      </w:pPr>
      <w:r>
        <w:rPr>
          <w:shd w:val="clear" w:color="auto" w:fill="auto"/>
        </w:rPr>
        <w:t xml:space="preserve">вероятностью встречи с дикими животными.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999"/>
        <w:rPr>
          <w:highlight w:val="none"/>
          <w:shd w:val="clear" w:color="auto" w:fill="auto"/>
        </w:rPr>
      </w:pPr>
      <w:r>
        <w:rPr>
          <w:shd w:val="clear" w:color="auto" w:fill="auto"/>
        </w:rPr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54"/>
        <w:numPr>
          <w:ilvl w:val="0"/>
          <w:numId w:val="0"/>
        </w:numPr>
        <w:ind w:left="0" w:firstLine="709"/>
        <w:spacing w:before="0" w:after="0" w:line="360" w:lineRule="auto"/>
        <w:widowControl w:val="off"/>
        <w:rPr>
          <w:highlight w:val="none"/>
          <w:shd w:val="clear" w:color="auto" w:fill="auto"/>
        </w:rPr>
      </w:pPr>
      <w:r>
        <w:rPr>
          <w:color w:val="000000"/>
          <w:shd w:val="clear" w:color="auto" w:fill="auto"/>
        </w:rPr>
        <w:t xml:space="preserve">Основа безопасной эксплуатации – квалификация и внимательность обслуживающего персонала, строгое соблюдение им требований и правил охраны труда, пожарной безопасности, норм ведения технологического процесса.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54"/>
        <w:numPr>
          <w:ilvl w:val="0"/>
          <w:numId w:val="0"/>
        </w:numPr>
        <w:ind w:left="0" w:firstLine="709"/>
        <w:spacing w:before="0" w:after="0" w:line="360" w:lineRule="auto"/>
        <w:widowControl w:val="off"/>
        <w:rPr>
          <w:highlight w:val="none"/>
          <w:shd w:val="clear" w:color="auto" w:fill="auto"/>
        </w:rPr>
      </w:pPr>
      <w:r>
        <w:rPr>
          <w:color w:val="000000"/>
          <w:shd w:val="clear" w:color="auto" w:fill="auto"/>
        </w:rPr>
        <w:t xml:space="preserve">Все действующие инструкции и положения по охране труда должны находиться на рабочих местах, знание их и соблюдение персоналом должно контролироваться постоянно.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91"/>
        <w:jc w:val="both"/>
        <w:spacing w:before="360" w:after="0" w:line="360" w:lineRule="auto"/>
        <w:rPr>
          <w:highlight w:val="none"/>
          <w:shd w:val="clear" w:color="auto" w:fill="auto"/>
        </w:rPr>
      </w:pPr>
      <w:r/>
      <w:bookmarkStart w:id="129" w:name="_Toc498965388"/>
      <w:r>
        <w:rPr>
          <w:rFonts w:ascii="Times New Roman" w:hAnsi="Times New Roman"/>
          <w:b w:val="0"/>
          <w:i w:val="0"/>
          <w:color w:val="000000"/>
          <w:shd w:val="clear" w:color="auto" w:fill="auto"/>
        </w:rPr>
        <w:t xml:space="preserve">7.1.2</w:t>
      </w:r>
      <w:r>
        <w:rPr>
          <w:rFonts w:ascii="Times New Roman" w:hAnsi="Times New Roman"/>
          <w:color w:val="000000"/>
          <w:shd w:val="clear" w:color="auto" w:fill="auto"/>
        </w:rPr>
        <w:t xml:space="preserve"> </w:t>
      </w:r>
      <w:r>
        <w:rPr>
          <w:rFonts w:ascii="Times New Roman" w:hAnsi="Times New Roman" w:eastAsia="Calibri"/>
          <w:b w:val="0"/>
          <w:i w:val="0"/>
          <w:caps w:val="0"/>
          <w:smallCaps w:val="0"/>
          <w:spacing w:val="0"/>
          <w:sz w:val="24"/>
          <w:szCs w:val="24"/>
          <w:shd w:val="clear" w:color="auto" w:fill="auto"/>
          <w:lang w:eastAsia="en-US"/>
        </w:rPr>
        <w:t xml:space="preserve">Основными мероприятиями, обеспечивающими минимальный уровень опасности производства, являются технические, технологические и организационные мероприятия. </w:t>
      </w:r>
      <w:bookmarkEnd w:id="129"/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ind w:firstLine="709"/>
        <w:jc w:val="both"/>
        <w:spacing w:line="360" w:lineRule="auto"/>
        <w:rPr>
          <w:highlight w:val="none"/>
          <w:shd w:val="clear" w:color="auto" w:fill="auto"/>
        </w:rPr>
      </w:pPr>
      <w:r>
        <w:rPr>
          <w:bCs/>
          <w:sz w:val="24"/>
          <w:szCs w:val="24"/>
          <w:shd w:val="clear" w:color="auto" w:fill="auto"/>
        </w:rPr>
        <w:t xml:space="preserve">Технические мероприятия, </w:t>
      </w:r>
      <w:r>
        <w:rPr>
          <w:color w:val="000000"/>
          <w:sz w:val="24"/>
          <w:szCs w:val="24"/>
          <w:shd w:val="clear" w:color="auto" w:fill="auto"/>
        </w:rPr>
        <w:t xml:space="preserve">к ним относятся следующие: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5"/>
        </w:numPr>
        <w:ind w:left="0" w:firstLine="709"/>
        <w:jc w:val="both"/>
        <w:spacing w:line="360" w:lineRule="auto"/>
        <w:rPr>
          <w:highlight w:val="none"/>
          <w:shd w:val="clear" w:color="auto" w:fill="auto"/>
        </w:rPr>
      </w:pPr>
      <w:r>
        <w:rPr>
          <w:b w:val="0"/>
          <w:color w:val="000000"/>
          <w:sz w:val="24"/>
          <w:szCs w:val="24"/>
          <w:shd w:val="clear" w:color="auto" w:fill="auto"/>
        </w:rPr>
        <w:t xml:space="preserve">своевременное техническое обслуживание и ремонт оборудования;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5"/>
        </w:numPr>
        <w:ind w:left="0" w:firstLine="709"/>
        <w:jc w:val="both"/>
        <w:spacing w:line="360" w:lineRule="auto"/>
        <w:rPr>
          <w:highlight w:val="none"/>
          <w:shd w:val="clear" w:color="auto" w:fill="auto"/>
        </w:rPr>
      </w:pPr>
      <w:r>
        <w:rPr>
          <w:b w:val="0"/>
          <w:color w:val="000000"/>
          <w:sz w:val="24"/>
          <w:szCs w:val="24"/>
          <w:shd w:val="clear" w:color="auto" w:fill="auto"/>
        </w:rPr>
        <w:t xml:space="preserve">исправность контрольно-измерительных приборов;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5"/>
        </w:numPr>
        <w:ind w:left="0" w:firstLine="709"/>
        <w:jc w:val="both"/>
        <w:spacing w:line="360" w:lineRule="auto"/>
        <w:rPr>
          <w:highlight w:val="none"/>
          <w:shd w:val="clear" w:color="auto" w:fill="auto"/>
        </w:rPr>
      </w:pPr>
      <w:r>
        <w:rPr>
          <w:b w:val="0"/>
          <w:color w:val="000000"/>
          <w:sz w:val="24"/>
          <w:szCs w:val="24"/>
          <w:shd w:val="clear" w:color="auto" w:fill="auto"/>
        </w:rPr>
        <w:t xml:space="preserve">качественное проведение ремонтных работ;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ind w:firstLine="709"/>
        <w:jc w:val="both"/>
        <w:spacing w:line="360" w:lineRule="auto"/>
        <w:rPr>
          <w:highlight w:val="none"/>
          <w:shd w:val="clear" w:color="auto" w:fill="auto"/>
        </w:rPr>
      </w:pPr>
      <w:r>
        <w:rPr>
          <w:color w:val="000000"/>
          <w:sz w:val="24"/>
          <w:szCs w:val="24"/>
          <w:shd w:val="clear" w:color="auto" w:fill="auto"/>
        </w:rPr>
        <w:t xml:space="preserve">К технологическим мероприятиям относятся следующие: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6"/>
        </w:numPr>
        <w:ind w:left="0" w:firstLine="709"/>
        <w:jc w:val="both"/>
        <w:spacing w:line="360" w:lineRule="auto"/>
        <w:tabs>
          <w:tab w:val="clear" w:pos="709" w:leader="none"/>
          <w:tab w:val="left" w:pos="1036" w:leader="none"/>
        </w:tabs>
        <w:rPr>
          <w:highlight w:val="none"/>
          <w:shd w:val="clear" w:color="auto" w:fill="auto"/>
        </w:rPr>
      </w:pPr>
      <w:r>
        <w:rPr>
          <w:b w:val="0"/>
          <w:color w:val="000000"/>
          <w:sz w:val="24"/>
          <w:szCs w:val="24"/>
          <w:shd w:val="clear" w:color="auto" w:fill="auto"/>
        </w:rPr>
        <w:t xml:space="preserve">соблюдать технологический режим работы скважин;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6"/>
        </w:numPr>
        <w:ind w:left="0" w:firstLine="709"/>
        <w:jc w:val="both"/>
        <w:spacing w:line="360" w:lineRule="auto"/>
        <w:tabs>
          <w:tab w:val="clear" w:pos="709" w:leader="none"/>
          <w:tab w:val="left" w:pos="1036" w:leader="none"/>
        </w:tabs>
        <w:rPr>
          <w:highlight w:val="none"/>
          <w:shd w:val="clear" w:color="auto" w:fill="auto"/>
        </w:rPr>
      </w:pPr>
      <w:r>
        <w:rPr>
          <w:b w:val="0"/>
          <w:color w:val="000000"/>
          <w:sz w:val="24"/>
          <w:szCs w:val="24"/>
          <w:shd w:val="clear" w:color="auto" w:fill="auto"/>
        </w:rPr>
        <w:t xml:space="preserve">эксплуатация технических устройств при параметрах, соответствующих требованиям паспорта завода изготовителя.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ind w:firstLine="709"/>
        <w:jc w:val="both"/>
        <w:spacing w:line="360" w:lineRule="auto"/>
        <w:rPr>
          <w:highlight w:val="none"/>
          <w:shd w:val="clear" w:color="auto" w:fill="auto"/>
        </w:rPr>
      </w:pPr>
      <w:r>
        <w:rPr>
          <w:bCs/>
          <w:sz w:val="24"/>
          <w:szCs w:val="24"/>
          <w:shd w:val="clear" w:color="auto" w:fill="auto"/>
        </w:rPr>
        <w:t xml:space="preserve">Организационные</w:t>
      </w:r>
      <w:r>
        <w:rPr>
          <w:b/>
          <w:sz w:val="24"/>
          <w:szCs w:val="24"/>
          <w:shd w:val="clear" w:color="auto" w:fill="auto"/>
        </w:rPr>
        <w:t xml:space="preserve"> </w:t>
      </w:r>
      <w:r>
        <w:rPr>
          <w:bCs/>
          <w:sz w:val="24"/>
          <w:szCs w:val="24"/>
          <w:shd w:val="clear" w:color="auto" w:fill="auto"/>
        </w:rPr>
        <w:t xml:space="preserve">мероприятия, </w:t>
      </w:r>
      <w:r>
        <w:rPr>
          <w:color w:val="000000"/>
          <w:sz w:val="24"/>
          <w:szCs w:val="24"/>
          <w:shd w:val="clear" w:color="auto" w:fill="auto"/>
        </w:rPr>
        <w:t xml:space="preserve">к ним относятся следующие: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7"/>
        </w:numPr>
        <w:ind w:left="0" w:firstLine="709"/>
        <w:jc w:val="both"/>
        <w:spacing w:line="360" w:lineRule="auto"/>
        <w:tabs>
          <w:tab w:val="clear" w:pos="709" w:leader="none"/>
          <w:tab w:val="left" w:pos="1036" w:leader="none"/>
        </w:tabs>
        <w:rPr>
          <w:highlight w:val="none"/>
          <w:shd w:val="clear" w:color="auto" w:fill="auto"/>
        </w:rPr>
      </w:pPr>
      <w:r>
        <w:rPr>
          <w:b w:val="0"/>
          <w:color w:val="000000"/>
          <w:sz w:val="24"/>
          <w:szCs w:val="24"/>
          <w:shd w:val="clear" w:color="auto" w:fill="auto"/>
        </w:rPr>
        <w:t xml:space="preserve">Организационные мероприятия осуществляются в соответствии с требованиями: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7"/>
        </w:numPr>
        <w:ind w:left="0" w:firstLine="709"/>
        <w:jc w:val="both"/>
        <w:spacing w:line="360" w:lineRule="auto"/>
        <w:tabs>
          <w:tab w:val="clear" w:pos="709" w:leader="none"/>
          <w:tab w:val="left" w:pos="1036" w:leader="none"/>
        </w:tabs>
        <w:rPr>
          <w:highlight w:val="none"/>
          <w:shd w:val="clear" w:color="auto" w:fill="auto"/>
        </w:rPr>
      </w:pPr>
      <w:r>
        <w:rPr>
          <w:b w:val="0"/>
          <w:color w:val="000000"/>
          <w:sz w:val="24"/>
          <w:szCs w:val="24"/>
          <w:shd w:val="clear" w:color="auto" w:fill="auto"/>
        </w:rPr>
        <w:t xml:space="preserve">Федерального закона «О промышленной безопасности опасных производственных объектов», ФЗ №116 от 21.7.1997 г.;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7"/>
        </w:numPr>
        <w:ind w:left="0" w:firstLine="709"/>
        <w:jc w:val="both"/>
        <w:spacing w:line="360" w:lineRule="auto"/>
        <w:tabs>
          <w:tab w:val="clear" w:pos="709" w:leader="none"/>
          <w:tab w:val="left" w:pos="1036" w:leader="none"/>
        </w:tabs>
        <w:rPr>
          <w:highlight w:val="none"/>
          <w:shd w:val="clear" w:color="auto" w:fill="auto"/>
        </w:rPr>
      </w:pPr>
      <w:r>
        <w:rPr>
          <w:b w:val="0"/>
          <w:color w:val="000000"/>
          <w:sz w:val="24"/>
          <w:szCs w:val="24"/>
          <w:shd w:val="clear" w:color="auto" w:fill="auto"/>
        </w:rPr>
        <w:t xml:space="preserve">Федеральных норм и правил в области промышленной безопасности «Правила безопасности в нефтяной и газовой промышленности»;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7"/>
        </w:numPr>
        <w:ind w:left="0" w:firstLine="709"/>
        <w:jc w:val="both"/>
        <w:spacing w:line="360" w:lineRule="auto"/>
        <w:tabs>
          <w:tab w:val="clear" w:pos="709" w:leader="none"/>
          <w:tab w:val="left" w:pos="1036" w:leader="none"/>
        </w:tabs>
        <w:rPr>
          <w:highlight w:val="none"/>
          <w:shd w:val="clear" w:color="auto" w:fill="auto"/>
        </w:rPr>
      </w:pPr>
      <w:r>
        <w:rPr>
          <w:b w:val="0"/>
          <w:color w:val="000000"/>
          <w:sz w:val="24"/>
          <w:szCs w:val="24"/>
          <w:shd w:val="clear" w:color="auto" w:fill="auto"/>
        </w:rPr>
        <w:t xml:space="preserve">Правила обучения по охране труда и проверки знания требованиям охраны труда, утвержденным постановлением Правительства РФ от 24.12.2021г. №2464.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7"/>
        </w:numPr>
        <w:ind w:left="0" w:firstLine="709"/>
        <w:jc w:val="both"/>
        <w:spacing w:line="360" w:lineRule="auto"/>
        <w:tabs>
          <w:tab w:val="clear" w:pos="709" w:leader="none"/>
          <w:tab w:val="left" w:pos="1036" w:leader="none"/>
        </w:tabs>
        <w:rPr>
          <w:highlight w:val="none"/>
          <w:shd w:val="clear" w:color="auto" w:fill="auto"/>
        </w:rPr>
      </w:pPr>
      <w:r>
        <w:rPr>
          <w:b w:val="0"/>
          <w:color w:val="000000"/>
          <w:sz w:val="24"/>
          <w:szCs w:val="24"/>
          <w:shd w:val="clear" w:color="auto" w:fill="auto"/>
        </w:rPr>
        <w:t xml:space="preserve">Единой системы управления производственной безопасностью в ПАО «Газпром» (СТО Газпром 18000.1-001);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7"/>
        </w:numPr>
        <w:ind w:left="0" w:firstLine="709"/>
        <w:jc w:val="both"/>
        <w:spacing w:line="360" w:lineRule="auto"/>
        <w:tabs>
          <w:tab w:val="clear" w:pos="709" w:leader="none"/>
          <w:tab w:val="left" w:pos="1036" w:leader="none"/>
        </w:tabs>
        <w:rPr>
          <w:highlight w:val="none"/>
          <w:shd w:val="clear" w:color="auto" w:fill="auto"/>
        </w:rPr>
      </w:pPr>
      <w:r>
        <w:rPr>
          <w:b w:val="0"/>
          <w:color w:val="000000"/>
          <w:sz w:val="24"/>
          <w:szCs w:val="24"/>
          <w:shd w:val="clear" w:color="auto" w:fill="auto"/>
        </w:rPr>
        <w:t xml:space="preserve">соблюдение должностных инструкций, производственных инструкций, инструкций по охране труда и о мерах пожарной безопасности;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7"/>
        </w:numPr>
        <w:ind w:left="0" w:firstLine="709"/>
        <w:jc w:val="both"/>
        <w:spacing w:line="360" w:lineRule="auto"/>
        <w:tabs>
          <w:tab w:val="clear" w:pos="709" w:leader="none"/>
          <w:tab w:val="left" w:pos="1036" w:leader="none"/>
        </w:tabs>
        <w:rPr>
          <w:highlight w:val="none"/>
          <w:shd w:val="clear" w:color="auto" w:fill="auto"/>
        </w:rPr>
      </w:pPr>
      <w:r>
        <w:rPr>
          <w:b w:val="0"/>
          <w:color w:val="000000"/>
          <w:sz w:val="24"/>
          <w:szCs w:val="24"/>
          <w:shd w:val="clear" w:color="auto" w:fill="auto"/>
        </w:rPr>
        <w:t xml:space="preserve">обучение, инструктаж, проверка знаний (аттестация) обслуживающего персонала в соответствии с требованиями нормативных документов в области промышленной, пожарной безопасности и охраны труда;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7"/>
        </w:numPr>
        <w:ind w:left="0" w:firstLine="709"/>
        <w:jc w:val="both"/>
        <w:spacing w:line="360" w:lineRule="auto"/>
        <w:tabs>
          <w:tab w:val="clear" w:pos="709" w:leader="none"/>
          <w:tab w:val="left" w:pos="1036" w:leader="none"/>
        </w:tabs>
        <w:rPr>
          <w:highlight w:val="none"/>
          <w:shd w:val="clear" w:color="auto" w:fill="auto"/>
        </w:rPr>
      </w:pPr>
      <w:r>
        <w:rPr>
          <w:b w:val="0"/>
          <w:color w:val="000000"/>
          <w:sz w:val="24"/>
          <w:szCs w:val="24"/>
          <w:shd w:val="clear" w:color="auto" w:fill="auto"/>
        </w:rPr>
        <w:t xml:space="preserve">обеспечение сотрудников средствами индивидуальной и коллективной защиты.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ind w:firstLine="709"/>
        <w:jc w:val="both"/>
        <w:spacing w:line="360" w:lineRule="auto"/>
        <w:tabs>
          <w:tab w:val="clear" w:pos="709" w:leader="none"/>
          <w:tab w:val="left" w:pos="1036" w:leader="none"/>
        </w:tabs>
        <w:rPr>
          <w:highlight w:val="none"/>
          <w:shd w:val="clear" w:color="auto" w:fill="auto"/>
        </w:rPr>
      </w:pPr>
      <w:r>
        <w:rPr>
          <w:bCs/>
          <w:color w:val="000000"/>
          <w:sz w:val="24"/>
          <w:szCs w:val="24"/>
          <w:shd w:val="clear" w:color="auto" w:fill="auto"/>
        </w:rPr>
        <w:t xml:space="preserve">Контроль во время эксплуатации. </w:t>
      </w:r>
      <w:r>
        <w:rPr>
          <w:color w:val="000000"/>
          <w:sz w:val="24"/>
          <w:szCs w:val="24"/>
          <w:shd w:val="clear" w:color="auto" w:fill="auto"/>
        </w:rPr>
        <w:t xml:space="preserve">При эксплуатации скважин необходимо: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8"/>
        </w:numPr>
        <w:ind w:left="0" w:firstLine="709"/>
        <w:jc w:val="both"/>
        <w:spacing w:line="360" w:lineRule="auto"/>
        <w:tabs>
          <w:tab w:val="clear" w:pos="709" w:leader="none"/>
          <w:tab w:val="left" w:pos="1036" w:leader="none"/>
        </w:tabs>
        <w:rPr>
          <w:highlight w:val="none"/>
          <w:shd w:val="clear" w:color="auto" w:fill="auto"/>
        </w:rPr>
      </w:pPr>
      <w:r>
        <w:rPr>
          <w:b w:val="0"/>
          <w:color w:val="000000"/>
          <w:sz w:val="24"/>
          <w:szCs w:val="24"/>
          <w:shd w:val="clear" w:color="auto" w:fill="auto"/>
        </w:rPr>
        <w:t xml:space="preserve">проверять техническое состояние скважины и установленного оборудования;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8"/>
        </w:numPr>
        <w:ind w:left="0" w:firstLine="709"/>
        <w:jc w:val="both"/>
        <w:spacing w:line="360" w:lineRule="auto"/>
        <w:tabs>
          <w:tab w:val="clear" w:pos="709" w:leader="none"/>
          <w:tab w:val="left" w:pos="1036" w:leader="none"/>
        </w:tabs>
        <w:rPr>
          <w:highlight w:val="none"/>
          <w:shd w:val="clear" w:color="auto" w:fill="auto"/>
        </w:rPr>
      </w:pPr>
      <w:r/>
      <w:bookmarkStart w:id="130" w:name="_Toc184800452"/>
      <w:r/>
      <w:bookmarkStart w:id="131" w:name="_Toc184786975"/>
      <w:r/>
      <w:bookmarkStart w:id="132" w:name="_Toc184786801"/>
      <w:r/>
      <w:bookmarkStart w:id="133" w:name="_Toc184727312"/>
      <w:r>
        <w:rPr>
          <w:b w:val="0"/>
          <w:color w:val="000000"/>
          <w:sz w:val="24"/>
          <w:szCs w:val="24"/>
          <w:shd w:val="clear" w:color="auto" w:fill="auto"/>
        </w:rPr>
        <w:t xml:space="preserve">проверять соответствие параметров работы оборудования установленному технологич</w:t>
      </w:r>
      <w:bookmarkEnd w:id="130"/>
      <w:r/>
      <w:bookmarkEnd w:id="131"/>
      <w:r/>
      <w:bookmarkEnd w:id="132"/>
      <w:r/>
      <w:bookmarkEnd w:id="133"/>
      <w:r>
        <w:rPr>
          <w:b w:val="0"/>
          <w:color w:val="000000"/>
          <w:sz w:val="24"/>
          <w:szCs w:val="24"/>
          <w:shd w:val="clear" w:color="auto" w:fill="auto"/>
        </w:rPr>
        <w:t xml:space="preserve">ескому режиму.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sectPr>
          <w:headerReference w:type="default" r:id="rId20"/>
          <w:headerReference w:type="first" r:id="rId21"/>
          <w:footerReference w:type="default" r:id="rId51"/>
          <w:footerReference w:type="first" r:id="rId52"/>
          <w:footnotePr/>
          <w:endnotePr/>
          <w:type w:val="nextPage"/>
          <w:pgSz w:w="11906" w:h="16838" w:orient="portrait"/>
          <w:pgMar w:top="1134" w:right="851" w:bottom="1134" w:left="1701" w:header="567" w:footer="567" w:gutter="0"/>
          <w:cols w:num="1" w:sep="0" w:space="708" w:equalWidth="1"/>
          <w:docGrid w:linePitch="360"/>
          <w:titlePg/>
        </w:sectPr>
      </w:pPr>
      <w:r/>
      <w:r/>
    </w:p>
    <w:p>
      <w:pPr>
        <w:pStyle w:val="2048"/>
        <w:ind w:left="0" w:firstLine="709"/>
        <w:jc w:val="both"/>
        <w:keepNext w:val="0"/>
        <w:spacing w:before="0" w:after="0" w:line="360" w:lineRule="auto"/>
        <w:widowControl w:val="off"/>
      </w:pPr>
      <w:r>
        <w:t xml:space="preserve">7.2 Характеристика взрывопожароопасных и токсичных свойств сырья, готовой продукции, материалов, реагентов</w:t>
      </w:r>
      <w:r/>
    </w:p>
    <w:p>
      <w:pPr>
        <w:pStyle w:val="2048"/>
        <w:jc w:val="both"/>
        <w:keepNext w:val="0"/>
        <w:spacing w:before="0" w:after="0" w:line="240" w:lineRule="auto"/>
        <w:widowControl w:val="off"/>
        <w:rPr>
          <w:spacing w:val="0"/>
        </w:rPr>
      </w:pPr>
      <w:r>
        <w:rPr>
          <w:b w:val="0"/>
          <w:spacing w:val="0"/>
          <w:szCs w:val="24"/>
        </w:rPr>
        <w:t xml:space="preserve">Таблица 7.1а – Взрывопожароопасные и токсичные свойства веществ, используемых на КГС </w:t>
      </w:r>
      <w:r>
        <w:rPr>
          <w:spacing w:val="0"/>
        </w:rPr>
      </w:r>
      <w:r>
        <w:rPr>
          <w:spacing w:val="0"/>
        </w:rPr>
      </w:r>
    </w:p>
    <w:tbl>
      <w:tblPr>
        <w:tblW w:w="5000" w:type="pct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245"/>
        <w:gridCol w:w="2594"/>
        <w:gridCol w:w="1260"/>
        <w:gridCol w:w="878"/>
        <w:gridCol w:w="1448"/>
        <w:gridCol w:w="1260"/>
        <w:gridCol w:w="1110"/>
        <w:gridCol w:w="1167"/>
        <w:gridCol w:w="1110"/>
        <w:gridCol w:w="1138"/>
        <w:gridCol w:w="1074"/>
      </w:tblGrid>
      <w:tr>
        <w:tblPrEx/>
        <w:trPr>
          <w:cantSplit/>
          <w:trHeight w:val="459"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45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Наименование сырья, полупродуктов, готовой продукции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594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60" w:after="60" w:line="240" w:lineRule="auto"/>
              <w:rPr>
                <w:highlight w:val="none"/>
                <w:shd w:val="clear" w:color="auto" w:fill="auto"/>
              </w:rPr>
            </w:pPr>
            <w:r>
              <w:rPr>
                <w:b w:val="0"/>
                <w:bCs/>
                <w:sz w:val="20"/>
                <w:szCs w:val="20"/>
                <w:shd w:val="clear" w:color="auto" w:fill="auto"/>
              </w:rPr>
              <w:t xml:space="preserve">Класс  </w:t>
            </w:r>
            <w:r>
              <w:rPr>
                <w:rFonts w:ascii="Liberation Serif" w:hAnsi="Liberation Serif"/>
                <w:b w:val="0"/>
                <w:i w:val="0"/>
                <w:sz w:val="20"/>
                <w:szCs w:val="20"/>
                <w:shd w:val="clear" w:color="auto" w:fill="auto"/>
              </w:rPr>
              <w:t xml:space="preserve"> опасности </w:t>
            </w:r>
            <w:r>
              <w:rPr>
                <w:rFonts w:ascii="Liberation Serif" w:hAnsi="Liberation Serif"/>
                <w:sz w:val="20"/>
                <w:szCs w:val="20"/>
                <w:shd w:val="clear" w:color="auto" w:fill="auto"/>
              </w:rPr>
              <w:t xml:space="preserve"> </w:t>
            </w:r>
            <w:r>
              <w:rPr>
                <w:rFonts w:ascii="Liberation Serif" w:hAnsi="Liberation Serif"/>
                <w:b w:val="0"/>
                <w:bCs w:val="0"/>
                <w:sz w:val="20"/>
                <w:szCs w:val="20"/>
                <w:shd w:val="clear" w:color="auto" w:fill="auto"/>
              </w:rPr>
              <w:t xml:space="preserve">СанПиН 1.2.3685-21 "Гигиенические нормативы и требования к обеспечению безопасности и (или) безвредности для человека факторов среды обитания", Постановление Главного государственного санитарного врача РФ от 28.01.2021 N2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Агрегатное состояние при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р. у.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878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Плотность паров (газов) по воздуху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448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Удельный вес жидких веществ при н. у, г/см</w:t>
            </w:r>
            <w:r>
              <w:rPr>
                <w:b w:val="0"/>
                <w:bCs/>
                <w:vertAlign w:val="superscript"/>
              </w:rPr>
              <w:t xml:space="preserve">3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Растворимость в воде при 25ºС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gridSpan w:val="5"/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99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Пределы воспламенения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</w:tr>
      <w:tr>
        <w:tblPrEx/>
        <w:trPr>
          <w:cantSplit/>
          <w:trHeight w:val="459"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45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94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0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78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48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0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77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Концентрационные,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% об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248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Температурные,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ºС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74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Аэровзвеси (г/см</w:t>
            </w:r>
            <w:r>
              <w:rPr>
                <w:b w:val="0"/>
                <w:bCs/>
                <w:vertAlign w:val="superscript"/>
              </w:rPr>
              <w:t xml:space="preserve">3</w:t>
            </w:r>
            <w:r>
              <w:rPr>
                <w:b w:val="0"/>
                <w:bCs/>
              </w:rPr>
              <w:t xml:space="preserve">) дисперсность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</w:tr>
      <w:tr>
        <w:tblPrEx/>
        <w:trPr>
          <w:cantSplit/>
          <w:trHeight w:val="459"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45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594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878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448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10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Нижний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67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Верхний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10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Нижний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38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Верхний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074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Нижний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</w:tr>
      <w:tr>
        <w:tblPrEx/>
        <w:trPr>
          <w:cantSplit/>
          <w:trHeight w:val="253"/>
        </w:trPr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45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1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594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2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878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4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448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6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10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67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8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10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9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38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10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074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11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cantSplit/>
          <w:trHeight w:val="612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45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Газ природный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594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4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Горючий газ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87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0.554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44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нет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1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67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15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1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3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074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cantSplit/>
          <w:trHeight w:val="459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45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Конденсат газа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594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4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Легковоспламеняющаяся жидкость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87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2.5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44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0.710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нет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1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1.4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67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7.8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1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3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074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cantSplit/>
          <w:trHeight w:val="459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45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Метанол (метиловый спирт)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594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Бесцветная легковоспламеняющаяся жидкость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87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1.1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44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не более 0.793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Смешивается с водой без следов помутнения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1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6.98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67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35.5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1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13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39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074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cantSplit/>
          <w:trHeight w:val="459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45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Дизтопливо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94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4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Горючая жидкость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87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44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не более 0.86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нет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1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2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67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1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57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138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100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074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Style w:val="2048"/>
        <w:jc w:val="both"/>
        <w:keepNext w:val="0"/>
        <w:spacing w:before="0" w:after="0" w:line="240" w:lineRule="auto"/>
        <w:widowControl w:val="off"/>
        <w:rPr>
          <w:b w:val="0"/>
          <w:spacing w:val="0"/>
          <w:szCs w:val="24"/>
        </w:rPr>
      </w:pPr>
      <w:r>
        <w:rPr>
          <w:b w:val="0"/>
          <w:spacing w:val="0"/>
          <w:szCs w:val="24"/>
        </w:rPr>
      </w:r>
      <w:r>
        <w:rPr>
          <w:b w:val="0"/>
          <w:spacing w:val="0"/>
          <w:szCs w:val="24"/>
        </w:rPr>
      </w:r>
      <w:r>
        <w:rPr>
          <w:b w:val="0"/>
          <w:spacing w:val="0"/>
          <w:szCs w:val="24"/>
        </w:rPr>
      </w:r>
    </w:p>
    <w:p>
      <w:pPr>
        <w:pStyle w:val="2048"/>
        <w:jc w:val="both"/>
        <w:spacing w:before="0" w:after="0" w:line="240" w:lineRule="auto"/>
        <w:widowControl w:val="off"/>
        <w:rPr>
          <w:b w:val="0"/>
          <w:spacing w:val="0"/>
          <w:szCs w:val="24"/>
        </w:rPr>
      </w:pPr>
      <w:r>
        <w:rPr>
          <w:b w:val="0"/>
          <w:spacing w:val="0"/>
          <w:szCs w:val="24"/>
        </w:rPr>
      </w:r>
      <w:r>
        <w:rPr>
          <w:b w:val="0"/>
          <w:spacing w:val="0"/>
          <w:szCs w:val="24"/>
        </w:rPr>
      </w:r>
      <w:r>
        <w:rPr>
          <w:b w:val="0"/>
          <w:spacing w:val="0"/>
          <w:szCs w:val="24"/>
        </w:rPr>
      </w:r>
    </w:p>
    <w:p>
      <w:pPr>
        <w:pStyle w:val="2048"/>
        <w:jc w:val="both"/>
        <w:keepNext w:val="0"/>
        <w:spacing w:before="0" w:after="0" w:line="240" w:lineRule="auto"/>
        <w:widowControl w:val="off"/>
        <w:rPr>
          <w:b w:val="0"/>
          <w:spacing w:val="0"/>
          <w:szCs w:val="24"/>
        </w:rPr>
      </w:pPr>
      <w:r>
        <w:rPr>
          <w:b w:val="0"/>
          <w:spacing w:val="0"/>
          <w:szCs w:val="24"/>
        </w:rPr>
      </w:r>
      <w:r>
        <w:rPr>
          <w:b w:val="0"/>
          <w:spacing w:val="0"/>
          <w:szCs w:val="24"/>
        </w:rPr>
      </w:r>
      <w:r>
        <w:rPr>
          <w:b w:val="0"/>
          <w:spacing w:val="0"/>
          <w:szCs w:val="24"/>
        </w:rPr>
      </w:r>
    </w:p>
    <w:tbl>
      <w:tblPr>
        <w:tblpPr w:horzAnchor="text" w:tblpXSpec="left" w:vertAnchor="text" w:tblpY="568" w:leftFromText="180" w:topFromText="0" w:rightFromText="180" w:bottomFromText="0"/>
        <w:tblW w:w="5000" w:type="pct"/>
        <w:tblInd w:w="108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681"/>
        <w:gridCol w:w="1260"/>
        <w:gridCol w:w="1261"/>
        <w:gridCol w:w="1262"/>
        <w:gridCol w:w="1261"/>
        <w:gridCol w:w="1263"/>
        <w:gridCol w:w="1260"/>
        <w:gridCol w:w="1267"/>
        <w:gridCol w:w="1397"/>
        <w:gridCol w:w="2372"/>
      </w:tblGrid>
      <w:tr>
        <w:tblPrEx/>
        <w:trPr>
          <w:trHeight w:val="340"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81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Наименование сырья, полупродуктов, готовой продукции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gridSpan w:val="2"/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521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Возможность воспламенения или взрыва (да, нет) при воздействии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gridSpan w:val="5"/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6313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Температура, ºС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397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ПДК в воздухе рабочей зоны производственных помещений, мг/м</w:t>
            </w:r>
            <w:r>
              <w:rPr>
                <w:b w:val="0"/>
                <w:bCs/>
                <w:vertAlign w:val="superscript"/>
              </w:rPr>
              <w:t xml:space="preserve">3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372" w:type="dxa"/>
            <w:vAlign w:val="center"/>
            <w:vMerge w:val="restart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НТД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</w:tr>
      <w:tr>
        <w:tblPrEx/>
        <w:trPr>
          <w:trHeight w:val="340"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81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60" w:after="60" w:line="360" w:lineRule="auto"/>
            </w:pPr>
            <w:r/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Воды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1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Кислорода, воздуха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2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Кипения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1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Плавления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3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Самовоспламенения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Воспламенения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7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Вспышки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397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60" w:after="60" w:line="360" w:lineRule="auto"/>
            </w:pPr>
            <w:r/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372" w:type="dxa"/>
            <w:vAlign w:val="center"/>
            <w:vMerge w:val="continue"/>
            <w:textDirection w:val="lrTb"/>
            <w:noWrap w:val="false"/>
          </w:tcPr>
          <w:p>
            <w:pPr>
              <w:pStyle w:val="2030"/>
              <w:spacing w:before="60" w:after="60" w:line="360" w:lineRule="auto"/>
            </w:pPr>
            <w:r/>
            <w:r/>
          </w:p>
        </w:tc>
      </w:tr>
      <w:tr>
        <w:tblPrEx/>
        <w:trPr>
          <w:trHeight w:val="339"/>
        </w:trPr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8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1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2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4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1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3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6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7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8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397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9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372" w:type="dxa"/>
            <w:vAlign w:val="center"/>
            <w:textDirection w:val="lrTb"/>
            <w:noWrap w:val="false"/>
          </w:tcPr>
          <w:p>
            <w:pPr>
              <w:pStyle w:val="2042"/>
              <w:spacing w:before="0" w:after="0" w:line="200" w:lineRule="exact"/>
              <w:rPr>
                <w:sz w:val="20"/>
              </w:rPr>
            </w:pPr>
            <w:r>
              <w:rPr>
                <w:sz w:val="20"/>
              </w:rPr>
              <w:t xml:space="preserve">10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8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Газ природный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нет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да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минус 161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минус 182.5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3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535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640 ÷800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7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минус 191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397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300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37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СТО Газпром 089-2010, Справочник “Пожарная опасность веществ”. Химия. 1980 г.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8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Конденсат газа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нет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да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3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287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7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Менее минус 44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397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300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37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highlight w:val="none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shd w:val="clear" w:color="auto" w:fill="auto"/>
                <w:lang w:val="ru-RU" w:eastAsia="ru-RU" w:bidi="ar-SA"/>
              </w:rPr>
              <w:t xml:space="preserve">ГОСТ Р 54389-2011 Конденсат газовый стабильный. Технические условия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1889"/>
              <w:spacing w:before="40" w:after="40" w:line="360" w:lineRule="auto"/>
              <w:rPr>
                <w:sz w:val="20"/>
                <w:highlight w:val="none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</w:r>
            <w:r>
              <w:rPr>
                <w:sz w:val="20"/>
                <w:highlight w:val="none"/>
                <w:shd w:val="clear" w:color="auto" w:fill="auto"/>
              </w:rPr>
            </w:r>
            <w:r>
              <w:rPr>
                <w:sz w:val="20"/>
                <w:highlight w:val="none"/>
                <w:shd w:val="clear" w:color="auto" w:fill="auto"/>
              </w:rPr>
            </w:r>
          </w:p>
        </w:tc>
      </w:tr>
      <w:tr>
        <w:tblPrEx/>
        <w:trPr>
          <w:trHeight w:val="34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8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Метанол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нет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Да, в присутствии источника зажигания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64.9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минус 93.9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3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440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13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267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6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397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37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ГОСТ 2222-95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trHeight w:val="82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8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Дизтопливо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нет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да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2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1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3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330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0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-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267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Не менее 35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397" w:type="dxa"/>
            <w:vAlign w:val="center"/>
            <w:textDirection w:val="lrTb"/>
            <w:noWrap w:val="false"/>
          </w:tcPr>
          <w:p>
            <w:pPr>
              <w:pStyle w:val="2042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  <w:t xml:space="preserve">300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72" w:type="dxa"/>
            <w:vAlign w:val="center"/>
            <w:textDirection w:val="lrTb"/>
            <w:noWrap w:val="false"/>
          </w:tcPr>
          <w:p>
            <w:pPr>
              <w:pStyle w:val="1889"/>
              <w:rPr>
                <w:highlight w:val="none"/>
                <w:shd w:val="clear" w:color="auto" w:fill="auto"/>
              </w:rPr>
            </w:pPr>
            <w:r>
              <w:rPr>
                <w:sz w:val="20"/>
                <w:shd w:val="clear" w:color="auto" w:fill="auto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0"/>
                <w:szCs w:val="20"/>
                <w:shd w:val="clear" w:color="auto" w:fill="auto"/>
                <w:lang w:val="ru-RU" w:eastAsia="ru-RU" w:bidi="ar-SA"/>
              </w:rPr>
              <w:t xml:space="preserve">ГОСТ 305-2013 Топливо дизельное. Технические условия</w:t>
            </w:r>
            <w:r>
              <w:rPr>
                <w:highlight w:val="none"/>
                <w:shd w:val="clear" w:color="auto" w:fill="auto"/>
              </w:rPr>
            </w:r>
            <w:r>
              <w:rPr>
                <w:highlight w:val="none"/>
                <w:shd w:val="clear" w:color="auto" w:fill="auto"/>
              </w:rPr>
            </w:r>
          </w:p>
          <w:p>
            <w:pPr>
              <w:pStyle w:val="1889"/>
              <w:spacing w:before="40" w:after="40" w:line="360" w:lineRule="auto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</w:tbl>
    <w:p>
      <w:pPr>
        <w:pStyle w:val="2048"/>
        <w:jc w:val="both"/>
        <w:keepNext w:val="0"/>
        <w:spacing w:before="0" w:after="0" w:line="240" w:lineRule="auto"/>
        <w:widowControl w:val="off"/>
        <w:rPr>
          <w:spacing w:val="0"/>
        </w:rPr>
      </w:pPr>
      <w:r>
        <w:rPr>
          <w:b w:val="0"/>
          <w:spacing w:val="0"/>
          <w:szCs w:val="24"/>
        </w:rPr>
        <w:t xml:space="preserve">Таблица 7.1б – Физические, термические и токсичные свойства веществ, используемых на КГС</w:t>
      </w:r>
      <w:r>
        <w:rPr>
          <w:spacing w:val="0"/>
        </w:rPr>
      </w:r>
      <w:r>
        <w:rPr>
          <w:spacing w:val="0"/>
        </w:rPr>
      </w:r>
    </w:p>
    <w:p>
      <w:pPr>
        <w:sectPr>
          <w:headerReference w:type="default" r:id="rId22"/>
          <w:headerReference w:type="first" r:id="rId23"/>
          <w:footerReference w:type="default" r:id="rId53"/>
          <w:footerReference w:type="first" r:id="rId54"/>
          <w:footnotePr/>
          <w:endnotePr/>
          <w:type w:val="nextPage"/>
          <w:pgSz w:w="16838" w:h="11906" w:orient="landscape"/>
          <w:pgMar w:top="1134" w:right="851" w:bottom="1134" w:left="1701" w:header="567" w:footer="567" w:gutter="0"/>
          <w:cols w:num="1" w:sep="0" w:space="708" w:equalWidth="1"/>
          <w:docGrid w:linePitch="360"/>
          <w:titlePg/>
        </w:sectPr>
      </w:pPr>
      <w:r/>
      <w:r/>
    </w:p>
    <w:p>
      <w:pPr>
        <w:pStyle w:val="2168"/>
        <w:spacing w:line="360" w:lineRule="auto"/>
        <w:widowControl w:val="off"/>
        <w:rPr>
          <w:b/>
        </w:rPr>
      </w:pPr>
      <w:r/>
      <w:bookmarkStart w:id="134" w:name="_Toc385183528"/>
      <w:r/>
      <w:bookmarkStart w:id="135" w:name="_Toc385517761"/>
      <w:r/>
      <w:bookmarkStart w:id="136" w:name="_Toc389464432"/>
      <w:r/>
      <w:bookmarkStart w:id="137" w:name="_Toc385183288"/>
      <w:r/>
      <w:bookmarkStart w:id="138" w:name="_Toc13992433"/>
      <w:r/>
      <w:bookmarkStart w:id="139" w:name="_Toc385183425"/>
      <w:r/>
      <w:bookmarkStart w:id="140" w:name="_Toc385427498"/>
      <w:r>
        <w:rPr>
          <w:b/>
        </w:rPr>
        <w:t xml:space="preserve">7.</w:t>
      </w:r>
      <w:bookmarkEnd w:id="134"/>
      <w:r/>
      <w:bookmarkEnd w:id="135"/>
      <w:r/>
      <w:bookmarkEnd w:id="136"/>
      <w:r/>
      <w:bookmarkEnd w:id="137"/>
      <w:r/>
      <w:bookmarkEnd w:id="138"/>
      <w:r/>
      <w:bookmarkEnd w:id="139"/>
      <w:r/>
      <w:bookmarkEnd w:id="140"/>
      <w:r>
        <w:rPr>
          <w:b/>
        </w:rPr>
        <w:t xml:space="preserve">3 Характеристики технологических блоков, зданий и помещений по взрывопожарной и пожарной опасности</w:t>
      </w:r>
      <w:r>
        <w:rPr>
          <w:b/>
        </w:rPr>
      </w:r>
      <w:r>
        <w:rPr>
          <w:b/>
        </w:rPr>
      </w:r>
    </w:p>
    <w:p>
      <w:pPr>
        <w:pStyle w:val="1889"/>
        <w:ind w:firstLine="709"/>
        <w:jc w:val="both"/>
        <w:spacing w:line="360" w:lineRule="auto"/>
        <w:widowControl w:val="off"/>
        <w:rPr>
          <w:sz w:val="24"/>
          <w:szCs w:val="24"/>
        </w:rPr>
      </w:pPr>
      <w:r>
        <w:rPr>
          <w:sz w:val="24"/>
          <w:szCs w:val="24"/>
        </w:rPr>
        <w:t xml:space="preserve">Классификация технологических блоков по взрывоопасности осуществляется в соответствии с требованиями действующих нормативных технических документов в области промышленной безопасности в нефтяной и газовой промышленности и приведена в таблице 7.2.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188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Таблица 7.2 – Взрывопожарная и пожарная опасность, санитарная характеристика площадок кустов газовых скважин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9279" w:type="dxa"/>
        <w:tblInd w:w="1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000" w:firstRow="0" w:lastRow="0" w:firstColumn="0" w:lastColumn="0" w:noHBand="0" w:noVBand="0"/>
      </w:tblPr>
      <w:tblGrid>
        <w:gridCol w:w="1776"/>
        <w:gridCol w:w="1801"/>
        <w:gridCol w:w="1668"/>
        <w:gridCol w:w="1653"/>
        <w:gridCol w:w="2381"/>
      </w:tblGrid>
      <w:tr>
        <w:tblPrEx/>
        <w:trPr>
          <w:cantSplit/>
          <w:trHeight w:val="25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776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Наименование производственных сооружений, помещений, наружных установок</w:t>
            </w:r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801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Категория взрывопожарной и пожарной опасности зданий, и помещений</w:t>
            </w:r>
            <w:r/>
          </w:p>
        </w:tc>
        <w:tc>
          <w:tcPr>
            <w:gridSpan w:val="2"/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32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Классификация зон внутри и вне помещений для выбора и установки электрооборудования</w:t>
            </w:r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381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Группа производственных процессов, по санитарной характеристике</w:t>
            </w:r>
            <w:r/>
          </w:p>
          <w:p>
            <w:pPr>
              <w:pStyle w:val="1889"/>
              <w:jc w:val="center"/>
              <w:spacing w:line="360" w:lineRule="auto"/>
            </w:pPr>
            <w:r>
              <w:t xml:space="preserve">(СП 44.13330.2011)</w:t>
            </w:r>
            <w:r/>
          </w:p>
        </w:tc>
      </w:tr>
      <w:tr>
        <w:tblPrEx/>
        <w:trPr>
          <w:cantSplit/>
          <w:trHeight w:val="25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776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spacing w:line="360" w:lineRule="auto"/>
            </w:pPr>
            <w:r/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801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spacing w:line="360" w:lineRule="auto"/>
            </w:pPr>
            <w:r/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68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</w:pPr>
            <w:r>
              <w:t xml:space="preserve">Класс взрывоопасной или пожароопасной зоны по №123-ФЗ</w:t>
            </w:r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3" w:type="dxa"/>
            <w:vAlign w:val="center"/>
            <w:textDirection w:val="lrTb"/>
            <w:noWrap w:val="false"/>
          </w:tcPr>
          <w:p>
            <w:pPr>
              <w:pStyle w:val="1889"/>
              <w:spacing w:line="360" w:lineRule="auto"/>
              <w:rPr>
                <w:rFonts w:eastAsia="Times New Roman" w:cs="Times New Roman"/>
                <w:b w:val="0"/>
                <w:bCs w:val="0"/>
                <w:color w:val="auto"/>
                <w:sz w:val="20"/>
                <w:szCs w:val="20"/>
                <w:lang w:val="ru-RU" w:eastAsia="ru-RU" w:bidi="ar-SA"/>
              </w:rPr>
            </w:pPr>
            <w:r>
              <w:t xml:space="preserve">Категория и группа взрывопожароопас</w:t>
            </w:r>
            <w:r>
              <w:rPr>
                <w:b w:val="0"/>
                <w:bCs w:val="0"/>
              </w:rPr>
              <w:t xml:space="preserve">ных смесей Г</w:t>
            </w:r>
            <w:r>
              <w:rPr>
                <w:rFonts w:eastAsia="Times New Roman" w:cs="Times New Roman"/>
                <w:b w:val="0"/>
                <w:bCs w:val="0"/>
                <w:color w:val="auto"/>
                <w:sz w:val="20"/>
                <w:szCs w:val="20"/>
                <w:lang w:val="ru-RU" w:eastAsia="ru-RU" w:bidi="ar-SA"/>
              </w:rPr>
              <w:t xml:space="preserve">ОСТ </w:t>
            </w:r>
            <w:r>
              <w:rPr>
                <w:rStyle w:val="1940"/>
                <w:rFonts w:eastAsia="Times New Roman" w:cs="Times New Roman"/>
                <w:b w:val="0"/>
                <w:bCs w:val="0"/>
                <w:color w:val="auto"/>
                <w:sz w:val="20"/>
                <w:szCs w:val="20"/>
                <w:lang w:val="ru-RU" w:eastAsia="ru-RU" w:bidi="ar-SA"/>
              </w:rPr>
              <w:t xml:space="preserve">31610.20-1-2020</w:t>
            </w:r>
            <w:r>
              <w:rPr>
                <w:rFonts w:eastAsia="Times New Roman" w:cs="Times New Roman"/>
                <w:b w:val="0"/>
                <w:bCs w:val="0"/>
                <w:color w:val="auto"/>
                <w:sz w:val="20"/>
                <w:szCs w:val="20"/>
                <w:lang w:val="ru-RU" w:eastAsia="ru-RU" w:bidi="ar-SA"/>
              </w:rPr>
            </w:r>
            <w:r>
              <w:rPr>
                <w:rFonts w:eastAsia="Times New Roman" w:cs="Times New Roman"/>
                <w:b w:val="0"/>
                <w:bCs w:val="0"/>
                <w:color w:val="auto"/>
                <w:sz w:val="20"/>
                <w:szCs w:val="20"/>
                <w:lang w:val="ru-RU" w:eastAsia="ru-RU" w:bidi="ar-SA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381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spacing w:line="360" w:lineRule="auto"/>
            </w:pPr>
            <w:r/>
            <w:r/>
          </w:p>
        </w:tc>
      </w:tr>
      <w:tr>
        <w:tblPrEx/>
        <w:trPr>
          <w:cantSplit/>
          <w:trHeight w:val="25"/>
          <w:tblHeader/>
        </w:trPr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77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Куст газовых</w:t>
            </w:r>
            <w:r/>
          </w:p>
          <w:p>
            <w:pPr>
              <w:pStyle w:val="1889"/>
              <w:jc w:val="center"/>
              <w:spacing w:line="360" w:lineRule="auto"/>
            </w:pPr>
            <w:r>
              <w:t xml:space="preserve">скважин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80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Ан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6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2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65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IIА Т2</w:t>
            </w:r>
            <w:r/>
          </w:p>
        </w:tc>
        <w:tc>
          <w:tcPr>
            <w:shd w:val="clear" w:color="auto" w:fill="auto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38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2г</w:t>
            </w:r>
            <w:r/>
          </w:p>
        </w:tc>
      </w:tr>
      <w:tr>
        <w:tblPrEx/>
        <w:trPr>
          <w:cantSplit/>
          <w:trHeight w:val="629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77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Блок-бокс ЭХЗ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0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Г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6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 xml:space="preserve">2</w:t>
            </w:r>
            <w:r>
              <w:rPr>
                <w:lang w:val="en-US"/>
              </w:rPr>
            </w:r>
            <w:r>
              <w:rPr>
                <w:lang w:val="en-US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65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-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8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rPr>
                <w:lang w:val="en-US"/>
              </w:rPr>
              <w:t xml:space="preserve">2</w:t>
            </w:r>
            <w:r>
              <w:t xml:space="preserve">г</w:t>
            </w:r>
            <w:r/>
          </w:p>
        </w:tc>
      </w:tr>
    </w:tbl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b/>
        </w:rPr>
      </w:pPr>
      <w:r>
        <w:rPr>
          <w:b/>
        </w:rPr>
        <w:t xml:space="preserve">7.4 Возможные производственные неполадки и аварийные ситуации, способы их предупреждения и устранения</w:t>
      </w:r>
      <w:r>
        <w:rPr>
          <w:b/>
        </w:rPr>
      </w:r>
      <w:r>
        <w:rPr>
          <w:b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При возникновении аварийной ситуации оперативн</w:t>
      </w:r>
      <w:r>
        <w:rPr>
          <w:rFonts w:cs="Times New Roman"/>
        </w:rPr>
        <w:t xml:space="preserve">ый персонал обязан с учётом складывающейся обстановки принимать быстрые и эффективные меры к предотвращению угрозы жизни и здоровья людей, повреждению смежного с аварийным объектом оборудования и коммуникаций и недопущению других нежелательных последствий.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В аварийной ситуации персонал должен: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007"/>
        <w:numPr>
          <w:ilvl w:val="0"/>
          <w:numId w:val="69"/>
        </w:numPr>
        <w:ind w:left="0" w:firstLine="709"/>
        <w:spacing w:before="0" w:after="0" w:line="360" w:lineRule="auto"/>
      </w:pPr>
      <w:r>
        <w:t xml:space="preserve">принять меры к локализации аварии, прекращению поступления в зону аварии горючих веществ, материалов, которые при горении выделяют вредные и ядовитые вещества;</w:t>
      </w:r>
      <w:r/>
    </w:p>
    <w:p>
      <w:pPr>
        <w:pStyle w:val="2007"/>
        <w:numPr>
          <w:ilvl w:val="0"/>
          <w:numId w:val="70"/>
        </w:numPr>
        <w:ind w:left="0" w:firstLine="709"/>
        <w:spacing w:before="0" w:after="0" w:line="360" w:lineRule="auto"/>
      </w:pPr>
      <w:r>
        <w:t xml:space="preserve">после осмотра места аварии сообщить о создавшейся ситуации и принятых мерах руководству ГП;</w:t>
      </w:r>
      <w:r/>
    </w:p>
    <w:p>
      <w:pPr>
        <w:pStyle w:val="2007"/>
        <w:numPr>
          <w:ilvl w:val="0"/>
          <w:numId w:val="71"/>
        </w:numPr>
        <w:ind w:left="0" w:firstLine="709"/>
        <w:spacing w:before="0" w:after="0" w:line="360" w:lineRule="auto"/>
      </w:pPr>
      <w:r>
        <w:t xml:space="preserve">после прибытия </w:t>
      </w:r>
      <w:r>
        <w:t xml:space="preserve">на место аварии восстановительных и пожарных подразделений сообщить их руководителям о создавшейся ситуации, о положении запорной арматуры на технологических коммуникациях, примыкающих к зоне аварии, месторасположении и условиях подъезда к источникам воды.</w:t>
      </w:r>
      <w:r/>
    </w:p>
    <w:p>
      <w:pPr>
        <w:pStyle w:val="1999"/>
        <w:ind w:firstLine="709"/>
        <w:spacing w:before="0" w:after="0" w:line="360" w:lineRule="auto"/>
        <w:widowControl w:val="off"/>
        <w:tabs>
          <w:tab w:val="left" w:pos="-5040" w:leader="none"/>
          <w:tab w:val="clear" w:pos="709" w:leader="none"/>
        </w:tabs>
      </w:pPr>
      <w:r>
        <w:t xml:space="preserve">Для принятия неотложных мер по локализации аварийной ситуации и ликвидации ее последствий оперативный персонал имеет право привлекать к работам всех, кто находится на УКПГ в момент аварийной ситуации.</w:t>
      </w:r>
      <w:r/>
    </w:p>
    <w:p>
      <w:pPr>
        <w:pStyle w:val="1999"/>
        <w:ind w:firstLine="709"/>
        <w:spacing w:before="0" w:after="0" w:line="360" w:lineRule="auto"/>
        <w:widowControl w:val="off"/>
        <w:tabs>
          <w:tab w:val="left" w:pos="-5040" w:leader="none"/>
          <w:tab w:val="clear" w:pos="709" w:leader="none"/>
        </w:tabs>
      </w:pPr>
      <w:r>
        <w:t xml:space="preserve">В целях обеспечения готовности персонала, эксплуатирующего опасные производственные объекты, к действиям по локализации и ликвидации последствий аварий на объекте разработан План мероприятий по локализации и ликвидации последствий аварий (ПМЛА).</w:t>
      </w:r>
      <w:r/>
    </w:p>
    <w:p>
      <w:pPr>
        <w:pStyle w:val="1999"/>
        <w:ind w:firstLine="709"/>
        <w:jc w:val="left"/>
        <w:spacing w:before="0" w:after="0" w:line="360" w:lineRule="auto"/>
        <w:widowControl w:val="off"/>
        <w:tabs>
          <w:tab w:val="left" w:pos="-5040" w:leader="none"/>
          <w:tab w:val="clear" w:pos="709" w:leader="none"/>
        </w:tabs>
      </w:pPr>
      <w:r>
        <w:t xml:space="preserve">Возможные аварии на ОПО Фонд скважин ГП- и причины их возникновения представлены в таблице 7.3. </w:t>
      </w:r>
      <w:r/>
    </w:p>
    <w:p>
      <w:pPr>
        <w:sectPr>
          <w:headerReference w:type="default" r:id="rId24"/>
          <w:headerReference w:type="first" r:id="rId25"/>
          <w:footerReference w:type="default" r:id="rId55"/>
          <w:footerReference w:type="first" r:id="rId56"/>
          <w:footnotePr/>
          <w:endnotePr/>
          <w:type w:val="nextPage"/>
          <w:pgSz w:w="11906" w:h="16838" w:orient="portrait"/>
          <w:pgMar w:top="1134" w:right="851" w:bottom="1134" w:left="1701" w:header="567" w:footer="567" w:gutter="0"/>
          <w:cols w:num="1" w:sep="0" w:space="708" w:equalWidth="1"/>
          <w:docGrid w:linePitch="360"/>
          <w:titlePg/>
        </w:sectPr>
      </w:pPr>
      <w:r>
        <w:br w:type="page" w:clear="all"/>
      </w:r>
      <w:r/>
    </w:p>
    <w:p>
      <w:pPr>
        <w:pStyle w:val="1999"/>
        <w:ind w:firstLine="709"/>
        <w:jc w:val="left"/>
        <w:spacing w:before="0" w:after="0" w:line="360" w:lineRule="auto"/>
        <w:widowControl w:val="off"/>
        <w:tabs>
          <w:tab w:val="left" w:pos="-5040" w:leader="none"/>
          <w:tab w:val="clear" w:pos="709" w:leader="none"/>
        </w:tabs>
        <w:rPr>
          <w:szCs w:val="24"/>
        </w:rPr>
      </w:pPr>
      <w:r/>
      <w:bookmarkStart w:id="141" w:name="_Toc184786981"/>
      <w:r/>
      <w:bookmarkStart w:id="142" w:name="_Toc184727318"/>
      <w:r/>
      <w:bookmarkStart w:id="143" w:name="_Toc184786807"/>
      <w:r/>
      <w:bookmarkStart w:id="144" w:name="_Toc184800458"/>
      <w:r/>
      <w:bookmarkEnd w:id="141"/>
      <w:r/>
      <w:bookmarkEnd w:id="142"/>
      <w:r/>
      <w:bookmarkEnd w:id="143"/>
      <w:r/>
      <w:bookmarkEnd w:id="144"/>
      <w:r>
        <w:rPr>
          <w:szCs w:val="24"/>
        </w:rPr>
        <w:t xml:space="preserve">Таблица 7.3 – </w:t>
      </w:r>
      <w:r>
        <w:t xml:space="preserve">Возможные аварии на ОПО Фонд скважин и причины их возникновения.</w:t>
      </w:r>
      <w:r>
        <w:rPr>
          <w:szCs w:val="24"/>
        </w:rPr>
      </w:r>
      <w:r>
        <w:rPr>
          <w:szCs w:val="24"/>
        </w:rPr>
      </w:r>
    </w:p>
    <w:tbl>
      <w:tblPr>
        <w:tblW w:w="14073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57"/>
        <w:gridCol w:w="5387"/>
        <w:gridCol w:w="4678"/>
        <w:gridCol w:w="3450"/>
      </w:tblGrid>
      <w:tr>
        <w:tblPrEx/>
        <w:trPr>
          <w:trHeight w:val="276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7" w:type="dxa"/>
            <w:vAlign w:val="center"/>
            <w:textDirection w:val="lrTb"/>
            <w:noWrap w:val="false"/>
          </w:tcPr>
          <w:p>
            <w:pPr>
              <w:pStyle w:val="1889"/>
              <w:ind w:right="-108" w:hanging="72"/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 </w:t>
            </w:r>
            <w:r>
              <w:rPr>
                <w:sz w:val="24"/>
                <w:szCs w:val="24"/>
              </w:rPr>
              <w:t xml:space="preserve">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387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Возможная авария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678" w:type="dxa"/>
            <w:vAlign w:val="center"/>
            <w:textDirection w:val="lrTb"/>
            <w:noWrap w:val="false"/>
          </w:tcPr>
          <w:p>
            <w:pPr>
              <w:pStyle w:val="1889"/>
              <w:ind w:hanging="19"/>
              <w:jc w:val="center"/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Причины возникновения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50" w:type="dxa"/>
            <w:vAlign w:val="center"/>
            <w:textDirection w:val="lrTb"/>
            <w:noWrap w:val="false"/>
          </w:tcPr>
          <w:p>
            <w:pPr>
              <w:pStyle w:val="1999"/>
              <w:ind w:hanging="19"/>
              <w:spacing w:before="120" w:after="120" w:line="240" w:lineRule="auto"/>
              <w:rPr>
                <w:szCs w:val="24"/>
              </w:rPr>
            </w:pPr>
            <w:r>
              <w:rPr>
                <w:szCs w:val="24"/>
              </w:rPr>
              <w:t xml:space="preserve">Действия персонала по устранению аварийного состояния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  <w:tr>
        <w:tblPrEx/>
        <w:trPr>
          <w:trHeight w:val="1400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7" w:type="dxa"/>
            <w:vAlign w:val="center"/>
            <w:textDirection w:val="lrTb"/>
            <w:noWrap w:val="false"/>
          </w:tcPr>
          <w:p>
            <w:pPr>
              <w:pStyle w:val="1889"/>
              <w:ind w:hanging="7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387" w:type="dxa"/>
            <w:textDirection w:val="lrTb"/>
            <w:noWrap w:val="false"/>
          </w:tcPr>
          <w:p>
            <w:pPr>
              <w:pStyle w:val="1999"/>
              <w:ind w:hanging="19"/>
              <w:spacing w:before="120" w:after="120" w:line="240" w:lineRule="auto"/>
              <w:rPr>
                <w:szCs w:val="24"/>
              </w:rPr>
            </w:pPr>
            <w:r>
              <w:rPr>
                <w:szCs w:val="24"/>
              </w:rPr>
              <w:t xml:space="preserve">Эксплуатационная скважина. Разрушение устья скважины. Разрушение (разгерметизация) фланцевых соединений и других элементов фонтанной арматуры ниже коренной задвижки с выбросом газа. Открытый газовый фонтан.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678" w:type="dxa"/>
            <w:textDirection w:val="lrTb"/>
            <w:noWrap w:val="false"/>
          </w:tcPr>
          <w:p>
            <w:pPr>
              <w:pStyle w:val="1999"/>
              <w:ind w:hanging="19"/>
              <w:spacing w:before="120" w:after="120" w:line="240" w:lineRule="auto"/>
              <w:rPr>
                <w:szCs w:val="24"/>
              </w:rPr>
            </w:pPr>
            <w:r>
              <w:rPr>
                <w:szCs w:val="24"/>
              </w:rPr>
              <w:t xml:space="preserve">Техническая неисправность, разрушение, негерметичность устьевого оборудования, ошибочные действия исполнителей работ, низкое качество цементирования обсадных колонн.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450" w:type="dxa"/>
            <w:textDirection w:val="lrTb"/>
            <w:noWrap w:val="false"/>
          </w:tcPr>
          <w:p>
            <w:pPr>
              <w:pStyle w:val="1999"/>
              <w:ind w:hanging="19"/>
              <w:spacing w:before="120" w:after="120" w:line="240" w:lineRule="auto"/>
              <w:rPr>
                <w:szCs w:val="24"/>
              </w:rPr>
            </w:pPr>
            <w:r>
              <w:rPr>
                <w:szCs w:val="24"/>
              </w:rPr>
              <w:t xml:space="preserve">Действовать согласно плану мероприятий по локализации и ликвидации последствий аварий на объектах ГП- Филиал.</w:t>
            </w:r>
            <w:r>
              <w:rPr>
                <w:szCs w:val="24"/>
              </w:rPr>
            </w:r>
            <w:r>
              <w:rPr>
                <w:szCs w:val="24"/>
              </w:rPr>
            </w:r>
          </w:p>
        </w:tc>
      </w:tr>
    </w:tbl>
    <w:p>
      <w:pPr>
        <w:pStyle w:val="1889"/>
        <w:ind w:firstLine="709"/>
        <w:jc w:val="both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1889"/>
        <w:ind w:firstLine="709"/>
        <w:jc w:val="both"/>
        <w:spacing w:line="360" w:lineRule="auto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1889"/>
        <w:ind w:firstLine="709"/>
        <w:spacing w:line="360" w:lineRule="auto"/>
        <w:rPr>
          <w:b/>
        </w:rPr>
      </w:pPr>
      <w:r>
        <w:rPr>
          <w:b/>
        </w:rPr>
        <w:t xml:space="preserve"> </w:t>
      </w:r>
      <w:r>
        <w:rPr>
          <w:b/>
        </w:rPr>
      </w:r>
      <w:r>
        <w:rPr>
          <w:b/>
        </w:rPr>
      </w:r>
    </w:p>
    <w:p>
      <w:pPr>
        <w:sectPr>
          <w:headerReference w:type="default" r:id="rId26"/>
          <w:headerReference w:type="first" r:id="rId27"/>
          <w:footerReference w:type="default" r:id="rId57"/>
          <w:footerReference w:type="first" r:id="rId58"/>
          <w:footnotePr/>
          <w:endnotePr/>
          <w:type w:val="nextPage"/>
          <w:pgSz w:w="16838" w:h="11906" w:orient="landscape"/>
          <w:pgMar w:top="1134" w:right="851" w:bottom="1134" w:left="1701" w:header="567" w:footer="567" w:gutter="0"/>
          <w:cols w:num="1" w:sep="0" w:space="708" w:equalWidth="1"/>
          <w:docGrid w:linePitch="360"/>
        </w:sectPr>
      </w:pPr>
      <w:r/>
      <w:r/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b/>
        </w:rPr>
      </w:pPr>
      <w:r/>
      <w:bookmarkStart w:id="145" w:name="_Toc385183529"/>
      <w:r/>
      <w:bookmarkStart w:id="146" w:name="_Toc389464433"/>
      <w:r/>
      <w:bookmarkStart w:id="147" w:name="_Toc385183426"/>
      <w:r/>
      <w:bookmarkStart w:id="148" w:name="_Toc385517762"/>
      <w:r/>
      <w:bookmarkStart w:id="149" w:name="_Toc385183289"/>
      <w:r/>
      <w:bookmarkStart w:id="150" w:name="_Toc13992435"/>
      <w:r/>
      <w:bookmarkStart w:id="151" w:name="_Toc385427499"/>
      <w:r>
        <w:rPr>
          <w:b/>
        </w:rPr>
        <w:t xml:space="preserve">7.5 Основные правила безопасности при ведении технологических процессов</w:t>
      </w:r>
      <w:bookmarkEnd w:id="145"/>
      <w:r/>
      <w:bookmarkEnd w:id="146"/>
      <w:r/>
      <w:bookmarkEnd w:id="147"/>
      <w:r/>
      <w:bookmarkEnd w:id="148"/>
      <w:r/>
      <w:bookmarkEnd w:id="149"/>
      <w:r/>
      <w:bookmarkEnd w:id="150"/>
      <w:r/>
      <w:bookmarkEnd w:id="151"/>
      <w:r>
        <w:rPr>
          <w:b/>
        </w:rPr>
      </w:r>
      <w:r>
        <w:rPr>
          <w:b/>
        </w:rPr>
      </w:r>
    </w:p>
    <w:p>
      <w:pPr>
        <w:pStyle w:val="2020"/>
        <w:ind w:firstLine="709"/>
        <w:jc w:val="both"/>
        <w:spacing w:before="0" w:after="0"/>
        <w:widowControl/>
        <w:rPr>
          <w:rFonts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ru-RU" w:eastAsia="ru-RU" w:bidi="ar-SA"/>
        </w:rPr>
      </w:pPr>
      <w:r>
        <w:rPr>
          <w:rFonts w:eastAsia="Times New Roman" w:cs="Times New Roman"/>
          <w:color w:val="000000"/>
          <w:sz w:val="24"/>
          <w:szCs w:val="24"/>
          <w:shd w:val="clear" w:color="auto" w:fill="auto"/>
          <w:lang w:val="ru-RU" w:eastAsia="ru-RU" w:bidi="ar-SA"/>
        </w:rPr>
        <w:t xml:space="preserve">К обязательным условиям ведения технологических процессов, исключающим возможность возникновения взрывов, отравлений и ожогов, а также к правилам обращения с опасными веществами на производстве относятся:</w:t>
      </w:r>
      <w:r>
        <w:rPr>
          <w:rFonts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ru-RU" w:eastAsia="ru-RU" w:bidi="ar-SA"/>
        </w:rPr>
      </w:r>
      <w:r>
        <w:rPr>
          <w:rFonts w:ascii="Times New Roman" w:hAnsi="Times New Roman" w:eastAsia="Times New Roman" w:cs="Times New Roman"/>
          <w:color w:val="auto"/>
          <w:sz w:val="24"/>
          <w:szCs w:val="24"/>
          <w:shd w:val="clear" w:color="auto" w:fill="auto"/>
          <w:lang w:val="ru-RU" w:eastAsia="ru-RU" w:bidi="ar-SA"/>
        </w:rPr>
      </w:r>
    </w:p>
    <w:p>
      <w:pPr>
        <w:pStyle w:val="2007"/>
        <w:numPr>
          <w:ilvl w:val="0"/>
          <w:numId w:val="72"/>
        </w:numPr>
        <w:ind w:left="0" w:firstLine="709"/>
        <w:spacing w:before="0" w:after="0" w:line="360" w:lineRule="auto"/>
        <w:tabs>
          <w:tab w:val="clear" w:pos="709" w:leader="none"/>
          <w:tab w:val="left" w:pos="1260" w:leader="none"/>
        </w:tabs>
      </w:pPr>
      <w:r>
        <w:rPr>
          <w:szCs w:val="24"/>
          <w:shd w:val="clear" w:color="auto" w:fill="auto"/>
        </w:rPr>
        <w:t xml:space="preserve">строгое соблюдение технологических процессов, т.е. поддержание параметров (давления, температуры, расхода) технологического процесса в заданных пределах;</w:t>
      </w:r>
      <w:r/>
    </w:p>
    <w:p>
      <w:pPr>
        <w:pStyle w:val="2007"/>
        <w:numPr>
          <w:ilvl w:val="0"/>
          <w:numId w:val="73"/>
        </w:numPr>
        <w:ind w:left="0" w:firstLine="709"/>
        <w:spacing w:before="0" w:after="0" w:line="360" w:lineRule="auto"/>
        <w:tabs>
          <w:tab w:val="clear" w:pos="709" w:leader="none"/>
          <w:tab w:val="left" w:pos="1260" w:leader="none"/>
        </w:tabs>
      </w:pPr>
      <w:r>
        <w:rPr>
          <w:szCs w:val="24"/>
          <w:shd w:val="clear" w:color="auto" w:fill="auto"/>
        </w:rPr>
        <w:t xml:space="preserve">строгое соблюдение требований инструкций по охране труда по профессиям и видам работ, инструкци</w:t>
      </w:r>
      <w:r>
        <w:rPr>
          <w:rFonts w:cs="Times New Roman"/>
          <w:sz w:val="24"/>
          <w:szCs w:val="26"/>
          <w:shd w:val="clear" w:color="auto" w:fill="auto"/>
        </w:rPr>
        <w:t xml:space="preserve">й по безопасной эксплуатации оборудования;</w:t>
      </w:r>
      <w:r/>
    </w:p>
    <w:p>
      <w:pPr>
        <w:pStyle w:val="2007"/>
        <w:numPr>
          <w:ilvl w:val="0"/>
          <w:numId w:val="74"/>
        </w:numPr>
        <w:ind w:left="0" w:firstLine="709"/>
        <w:spacing w:before="0" w:after="0" w:line="360" w:lineRule="auto"/>
        <w:tabs>
          <w:tab w:val="clear" w:pos="709" w:leader="none"/>
          <w:tab w:val="left" w:pos="1260" w:leader="none"/>
        </w:tabs>
      </w:pPr>
      <w:r>
        <w:rPr>
          <w:rFonts w:cs="Times New Roman"/>
          <w:sz w:val="24"/>
          <w:szCs w:val="26"/>
          <w:shd w:val="clear" w:color="auto" w:fill="auto"/>
        </w:rPr>
        <w:t xml:space="preserve">предотвращение</w:t>
      </w:r>
      <w:r>
        <w:rPr>
          <w:szCs w:val="24"/>
          <w:shd w:val="clear" w:color="auto" w:fill="auto"/>
        </w:rPr>
        <w:t xml:space="preserve"> образования взрывоопасных концентраций газа, метанола и др.;</w:t>
      </w:r>
      <w:r/>
    </w:p>
    <w:p>
      <w:pPr>
        <w:pStyle w:val="2007"/>
        <w:numPr>
          <w:ilvl w:val="0"/>
          <w:numId w:val="75"/>
        </w:numPr>
        <w:ind w:left="0" w:firstLine="709"/>
        <w:spacing w:before="0" w:after="0" w:line="360" w:lineRule="auto"/>
        <w:tabs>
          <w:tab w:val="clear" w:pos="709" w:leader="none"/>
          <w:tab w:val="left" w:pos="1260" w:leader="none"/>
        </w:tabs>
      </w:pPr>
      <w:r>
        <w:rPr>
          <w:szCs w:val="24"/>
          <w:shd w:val="clear" w:color="auto" w:fill="auto"/>
        </w:rPr>
        <w:t xml:space="preserve">своевременное проведение профилактических мероприятий и поддержание надежности оборудования, контрольно-измерительной аппаратуры и системы автоматизации.</w:t>
      </w:r>
      <w:r/>
    </w:p>
    <w:p>
      <w:pPr>
        <w:pStyle w:val="2020"/>
        <w:ind w:firstLine="709"/>
        <w:spacing w:line="360" w:lineRule="auto"/>
      </w:pPr>
      <w:r>
        <w:rPr>
          <w:shd w:val="clear" w:color="auto" w:fill="auto"/>
        </w:rPr>
        <w:t xml:space="preserve">Техническая подготовка эксплуатационного персонала, обучение и проверка знаний должны проводиться в соответствии с требованиями следующей НД:</w:t>
      </w:r>
      <w:r/>
    </w:p>
    <w:p>
      <w:pPr>
        <w:pStyle w:val="2007"/>
        <w:numPr>
          <w:ilvl w:val="0"/>
          <w:numId w:val="76"/>
        </w:numPr>
        <w:ind w:left="0" w:firstLine="709"/>
        <w:spacing w:before="0" w:after="0" w:line="360" w:lineRule="auto"/>
      </w:pPr>
      <w:r>
        <w:rPr>
          <w:szCs w:val="24"/>
          <w:shd w:val="clear" w:color="auto" w:fill="auto"/>
        </w:rPr>
        <w:t xml:space="preserve">Федеральный закон «О промышленной безопасности опасных производственных объектов», ФЗ №116 от 21.7.1997 г.;</w:t>
      </w:r>
      <w:r/>
    </w:p>
    <w:p>
      <w:pPr>
        <w:pStyle w:val="2007"/>
        <w:numPr>
          <w:ilvl w:val="0"/>
          <w:numId w:val="77"/>
        </w:numPr>
        <w:ind w:left="0" w:firstLine="709"/>
        <w:spacing w:before="0" w:after="0" w:line="360" w:lineRule="auto"/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Стандарты единой системы управления производственной безопасностью в ПАО «Газпром»;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numPr>
          <w:ilvl w:val="0"/>
          <w:numId w:val="78"/>
        </w:numPr>
        <w:ind w:left="0" w:firstLine="709"/>
        <w:spacing w:before="0" w:after="0" w:line="360" w:lineRule="auto"/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Федеральные норма и правила в области промышленной безопасности «Правила безопасности в нефтяной и газовой промышленности» от 15.12.2020  №534;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889"/>
        <w:numPr>
          <w:ilvl w:val="0"/>
          <w:numId w:val="79"/>
        </w:numPr>
        <w:ind w:left="0" w:right="0" w:firstLine="737"/>
        <w:jc w:val="both"/>
        <w:spacing w:before="0" w:after="0" w:line="360" w:lineRule="auto"/>
        <w:widowControl/>
        <w:rPr>
          <w:highlight w:val="none"/>
          <w:shd w:val="clear" w:color="auto" w:fill="auto"/>
        </w:rPr>
      </w:pPr>
      <w:r>
        <w:rPr>
          <w:sz w:val="24"/>
          <w:szCs w:val="24"/>
          <w:shd w:val="clear" w:color="auto" w:fill="auto"/>
          <w:lang w:eastAsia="en-US"/>
        </w:rPr>
        <w:t xml:space="preserve">Федеральные норма и правила в области промышленной безопасности «Правила промышленной безопасности при использовании оборудования, работающего под избыточным давлением» от 15.12.2020 № 536;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numPr>
          <w:ilvl w:val="0"/>
          <w:numId w:val="80"/>
        </w:numPr>
        <w:ind w:left="0" w:firstLine="709"/>
        <w:spacing w:before="0" w:after="0" w:line="360" w:lineRule="auto"/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Правила противопожарного режима в РФ РФ (Постановление Правительства РФ от 16.09.2020 № 147);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numPr>
          <w:ilvl w:val="0"/>
          <w:numId w:val="81"/>
        </w:numPr>
        <w:ind w:left="0" w:firstLine="709"/>
        <w:spacing w:before="0" w:after="0" w:line="360" w:lineRule="auto"/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Правила технической эксплуатации электроустановок потребителей электрической энергии  </w:t>
      </w:r>
      <w:r>
        <w:rPr>
          <w:rFonts w:ascii="Liberation Serif" w:hAnsi="Liberation Serif"/>
          <w:sz w:val="24"/>
          <w:shd w:val="clear" w:color="auto" w:fill="auto"/>
        </w:rPr>
        <w:t xml:space="preserve">(Приказ Минэнерго России от 12.08.2022 № 811)</w:t>
      </w:r>
      <w:r>
        <w:rPr>
          <w:szCs w:val="24"/>
          <w:shd w:val="clear" w:color="auto" w:fill="auto"/>
        </w:rPr>
        <w:t xml:space="preserve">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firstLine="709"/>
        <w:spacing w:line="360" w:lineRule="auto"/>
      </w:pPr>
      <w:r>
        <w:rPr>
          <w:szCs w:val="24"/>
          <w:shd w:val="clear" w:color="auto" w:fill="auto"/>
        </w:rPr>
        <w:t xml:space="preserve">Во избежание создания при эксплуатации оборудования и систем ситуаций, связанных с возникновением пожаров и взрывов, утечек газа, конденсата и ингибитора гидратообразования, эксплуатационный персонал обязан:</w:t>
      </w:r>
      <w:r/>
    </w:p>
    <w:p>
      <w:pPr>
        <w:pStyle w:val="2007"/>
        <w:numPr>
          <w:ilvl w:val="0"/>
          <w:numId w:val="82"/>
        </w:numPr>
        <w:ind w:left="0" w:firstLine="709"/>
        <w:spacing w:before="0" w:after="0" w:line="360" w:lineRule="auto"/>
      </w:pPr>
      <w:r>
        <w:rPr>
          <w:szCs w:val="24"/>
          <w:shd w:val="clear" w:color="auto" w:fill="auto"/>
        </w:rPr>
        <w:t xml:space="preserve">строго соблюдать положения действующих рабочих инструкций по обслуживанию технологического оборудования, механизмов, КИПиА;</w:t>
      </w:r>
      <w:r/>
    </w:p>
    <w:p>
      <w:pPr>
        <w:pStyle w:val="2007"/>
        <w:numPr>
          <w:ilvl w:val="0"/>
          <w:numId w:val="83"/>
        </w:numPr>
        <w:ind w:left="0" w:firstLine="709"/>
        <w:spacing w:before="0" w:after="0" w:line="360" w:lineRule="auto"/>
      </w:pPr>
      <w:r>
        <w:rPr>
          <w:szCs w:val="24"/>
          <w:shd w:val="clear" w:color="auto" w:fill="auto"/>
        </w:rPr>
        <w:t xml:space="preserve">соблюдать правила охраны труда, техники безопасности производственной санитарии, газовой, пожарной и промышленной безопасности на рабочих местах, вести технологические процессы согласно нормам технологического режима; </w:t>
      </w:r>
      <w:r/>
    </w:p>
    <w:p>
      <w:pPr>
        <w:pStyle w:val="2007"/>
        <w:numPr>
          <w:ilvl w:val="0"/>
          <w:numId w:val="84"/>
        </w:numPr>
        <w:ind w:left="0" w:firstLine="709"/>
        <w:spacing w:before="0" w:after="0" w:line="360" w:lineRule="auto"/>
      </w:pPr>
      <w:r>
        <w:rPr>
          <w:szCs w:val="24"/>
          <w:shd w:val="clear" w:color="auto" w:fill="auto"/>
        </w:rPr>
        <w:t xml:space="preserve">своевременно корректировать отклонения технологического режима от установленных норм, постоянно следить за исправностью средств КИПиА, немедленно устранять возникшие дефекты.</w:t>
      </w:r>
      <w:r/>
    </w:p>
    <w:p>
      <w:pPr>
        <w:pStyle w:val="1999"/>
        <w:ind w:firstLine="709"/>
        <w:spacing w:before="0" w:after="0" w:line="360" w:lineRule="auto"/>
        <w:widowControl w:val="off"/>
        <w:tabs>
          <w:tab w:val="left" w:pos="-5040" w:leader="none"/>
          <w:tab w:val="clear" w:pos="709" w:leader="none"/>
        </w:tabs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Т</w:t>
      </w:r>
      <w:r>
        <w:rPr>
          <w:szCs w:val="24"/>
          <w:shd w:val="clear" w:color="auto" w:fill="auto"/>
        </w:rPr>
        <w:t xml:space="preserve">рубопроводную арматуру необходимо обслуживать в соответствии с инструкциями по эксплуатации, производственной инструкцией и требованиями СТО «Газпром добыча Ямбург» 3.1-385-2023. Запрещается применять какие-либо рычаги для открывания и закрывания арматуры.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999"/>
        <w:ind w:firstLine="709"/>
        <w:spacing w:before="0" w:after="0" w:line="360" w:lineRule="auto"/>
        <w:widowControl w:val="off"/>
        <w:tabs>
          <w:tab w:val="left" w:pos="-5040" w:leader="none"/>
          <w:tab w:val="clear" w:pos="709" w:leader="none"/>
        </w:tabs>
      </w:pPr>
      <w:r>
        <w:rPr>
          <w:szCs w:val="24"/>
          <w:shd w:val="clear" w:color="auto" w:fill="auto"/>
        </w:rPr>
        <w:t xml:space="preserve">Запорная и регулирующая арматура во избежание гидравлических ударов в трубопроводах должна открываться медленно и плавно, несоблюдение этого правила может привес</w:t>
      </w:r>
      <w:r>
        <w:rPr>
          <w:sz w:val="24"/>
          <w:shd w:val="clear" w:color="auto" w:fill="auto"/>
        </w:rPr>
        <w:t xml:space="preserve">ти к разрыву трубопровода, корпуса арматуры, искривлению трубопровода, разрушению несущих опор.</w:t>
      </w:r>
      <w:r/>
    </w:p>
    <w:p>
      <w:pPr>
        <w:pStyle w:val="1999"/>
        <w:ind w:firstLine="709"/>
        <w:spacing w:before="0" w:after="0" w:line="360" w:lineRule="auto"/>
        <w:widowControl w:val="off"/>
        <w:tabs>
          <w:tab w:val="left" w:pos="-5040" w:leader="none"/>
          <w:tab w:val="clear" w:pos="709" w:leader="none"/>
        </w:tabs>
      </w:pPr>
      <w:r>
        <w:rPr>
          <w:sz w:val="24"/>
          <w:shd w:val="clear" w:color="auto" w:fill="auto"/>
        </w:rPr>
        <w:t xml:space="preserve">Ледяные пробки следует отогревать паром или горячей водой, разогрев начинать с конца замороженного участка.</w:t>
      </w:r>
      <w:r/>
    </w:p>
    <w:p>
      <w:pPr>
        <w:pStyle w:val="1999"/>
        <w:ind w:firstLine="709"/>
        <w:spacing w:before="0" w:after="0" w:line="360" w:lineRule="auto"/>
        <w:widowControl w:val="off"/>
        <w:tabs>
          <w:tab w:val="left" w:pos="-5040" w:leader="none"/>
          <w:tab w:val="clear" w:pos="709" w:leader="none"/>
        </w:tabs>
        <w:rPr>
          <w:highlight w:val="none"/>
          <w:shd w:val="clear" w:color="auto" w:fill="auto"/>
        </w:rPr>
      </w:pPr>
      <w:r>
        <w:rPr>
          <w:sz w:val="24"/>
          <w:shd w:val="clear" w:color="auto" w:fill="auto"/>
        </w:rPr>
        <w:t xml:space="preserve">Все ремонтные работы на открытых производственных площадках, где возможно образование взрывоопасной концентрации, должны проводиться инструментом, изготовленным из металла, не дающего при ударе искр.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1999"/>
        <w:ind w:firstLine="709"/>
        <w:spacing w:before="0" w:after="0" w:line="360" w:lineRule="auto"/>
        <w:widowControl w:val="off"/>
        <w:tabs>
          <w:tab w:val="left" w:pos="-5040" w:leader="none"/>
          <w:tab w:val="clear" w:pos="709" w:leader="none"/>
        </w:tabs>
      </w:pPr>
      <w:r>
        <w:rPr>
          <w:rFonts w:cs="Times New Roman"/>
          <w:sz w:val="24"/>
          <w:szCs w:val="26"/>
          <w:shd w:val="clear" w:color="auto" w:fill="auto"/>
        </w:rPr>
        <w:t xml:space="preserve">При выполнении газоопасных или огневых работ на территории КГС (у узлов запорно-регулирующей арматуры и приборов визуального контроля технологических параметров) должен о</w:t>
      </w:r>
      <w:r>
        <w:rPr>
          <w:rFonts w:cs="Times New Roman"/>
          <w:sz w:val="24"/>
          <w:szCs w:val="26"/>
          <w:shd w:val="clear" w:color="auto" w:fill="auto"/>
        </w:rPr>
        <w:t xml:space="preserve">существляться контроль воздушной среды с помощью переносных приборов. При обнаружении взрывоопасной концентрации газовоздушной среды необходимо принять меры по эвакуации людей из опасной зоны, по обнаружению и устранению причин, вызывающих загазованность. </w:t>
      </w:r>
      <w:r/>
    </w:p>
    <w:p>
      <w:pPr>
        <w:pStyle w:val="2167"/>
        <w:ind w:firstLine="709"/>
        <w:rPr>
          <w:sz w:val="24"/>
          <w:highlight w:val="none"/>
          <w:shd w:val="clear" w:color="auto" w:fill="auto"/>
        </w:rPr>
      </w:pPr>
      <w:r>
        <w:rPr>
          <w:sz w:val="24"/>
          <w:shd w:val="clear" w:color="auto" w:fill="auto"/>
        </w:rPr>
      </w:r>
      <w:r>
        <w:rPr>
          <w:sz w:val="24"/>
          <w:highlight w:val="none"/>
          <w:shd w:val="clear" w:color="auto" w:fill="auto"/>
        </w:rPr>
      </w:r>
      <w:r>
        <w:rPr>
          <w:sz w:val="24"/>
          <w:highlight w:val="none"/>
          <w:shd w:val="clear" w:color="auto" w:fill="auto"/>
        </w:rPr>
      </w:r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b/>
        </w:rPr>
      </w:pPr>
      <w:r>
        <w:rPr>
          <w:b/>
        </w:rPr>
      </w:r>
      <w:bookmarkStart w:id="153" w:name="_Toc13992436"/>
      <w:r>
        <w:rPr>
          <w:b/>
        </w:rPr>
      </w:r>
      <w:r>
        <w:rPr>
          <w:b/>
        </w:rPr>
      </w:r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b/>
        </w:rPr>
      </w:pPr>
      <w:r/>
      <w:bookmarkStart w:id="154" w:name="_Toc385183531"/>
      <w:r/>
      <w:bookmarkStart w:id="155" w:name="_Toc385517764"/>
      <w:r/>
      <w:bookmarkStart w:id="156" w:name="_Toc389464435"/>
      <w:r/>
      <w:bookmarkStart w:id="157" w:name="_Toc385183291"/>
      <w:r/>
      <w:bookmarkStart w:id="158" w:name="_Toc385183428"/>
      <w:r/>
      <w:bookmarkStart w:id="159" w:name="_Toc385427501"/>
      <w:r>
        <w:rPr>
          <w:b/>
        </w:rPr>
        <w:t xml:space="preserve">7.6 </w:t>
      </w:r>
      <w:bookmarkStart w:id="160" w:name="_Toc527898073"/>
      <w:r/>
      <w:bookmarkEnd w:id="154"/>
      <w:r/>
      <w:bookmarkEnd w:id="155"/>
      <w:r/>
      <w:bookmarkEnd w:id="156"/>
      <w:r/>
      <w:bookmarkEnd w:id="157"/>
      <w:r/>
      <w:bookmarkEnd w:id="158"/>
      <w:r/>
      <w:bookmarkEnd w:id="159"/>
      <w:r>
        <w:rPr>
          <w:b/>
        </w:rPr>
        <w:t xml:space="preserve">Основные требования пожарной безопасности</w:t>
      </w:r>
      <w:bookmarkEnd w:id="153"/>
      <w:r/>
      <w:bookmarkEnd w:id="160"/>
      <w:r>
        <w:rPr>
          <w:b/>
        </w:rPr>
      </w:r>
      <w:r>
        <w:rPr>
          <w:b/>
        </w:rPr>
      </w:r>
    </w:p>
    <w:p>
      <w:pPr>
        <w:pStyle w:val="2167"/>
        <w:ind w:firstLine="709"/>
        <w:spacing w:line="360" w:lineRule="auto"/>
        <w:rPr>
          <w:highlight w:val="none"/>
          <w:shd w:val="clear" w:color="auto" w:fill="ffffff"/>
        </w:rPr>
      </w:pPr>
      <w:r>
        <w:rPr>
          <w:szCs w:val="24"/>
          <w:shd w:val="clear" w:color="auto" w:fill="ffffff"/>
        </w:rPr>
        <w:t xml:space="preserve">Обеспечение пожарной безопасности на ГП должно осуществляться в соответствии со следующими документами:</w:t>
      </w:r>
      <w:r>
        <w:rPr>
          <w:highlight w:val="none"/>
          <w:shd w:val="clear" w:color="auto" w:fill="ffffff"/>
        </w:rPr>
      </w:r>
      <w:r>
        <w:rPr>
          <w:highlight w:val="none"/>
          <w:shd w:val="clear" w:color="auto" w:fill="ffffff"/>
        </w:rPr>
      </w:r>
    </w:p>
    <w:p>
      <w:pPr>
        <w:pStyle w:val="2007"/>
        <w:numPr>
          <w:ilvl w:val="0"/>
          <w:numId w:val="85"/>
        </w:numPr>
        <w:ind w:left="0" w:firstLine="709"/>
        <w:spacing w:before="0" w:after="0" w:line="360" w:lineRule="auto"/>
        <w:rPr>
          <w:highlight w:val="none"/>
          <w:shd w:val="clear" w:color="auto" w:fill="ffffff"/>
        </w:rPr>
      </w:pPr>
      <w:r>
        <w:rPr>
          <w:szCs w:val="24"/>
          <w:shd w:val="clear" w:color="auto" w:fill="ffffff"/>
        </w:rPr>
        <w:t xml:space="preserve">Федеральный закон №123-ФЗ от 22.07.08 “Технический регламент о требованиях пожарной безопасности”;</w:t>
      </w:r>
      <w:r>
        <w:rPr>
          <w:highlight w:val="none"/>
          <w:shd w:val="clear" w:color="auto" w:fill="ffffff"/>
        </w:rPr>
      </w:r>
      <w:r>
        <w:rPr>
          <w:highlight w:val="none"/>
          <w:shd w:val="clear" w:color="auto" w:fill="ffffff"/>
        </w:rPr>
      </w:r>
    </w:p>
    <w:p>
      <w:pPr>
        <w:pStyle w:val="2007"/>
        <w:numPr>
          <w:ilvl w:val="0"/>
          <w:numId w:val="86"/>
        </w:numPr>
        <w:ind w:left="0" w:firstLine="709"/>
        <w:spacing w:before="0" w:after="0" w:line="360" w:lineRule="auto"/>
        <w:rPr>
          <w:highlight w:val="none"/>
          <w:shd w:val="clear" w:color="auto" w:fill="ffffff"/>
        </w:rPr>
      </w:pPr>
      <w:r>
        <w:rPr>
          <w:szCs w:val="24"/>
          <w:shd w:val="clear" w:color="auto" w:fill="ffffff"/>
        </w:rPr>
        <w:t xml:space="preserve">Перечень национальных стандартов и сводов правил;</w:t>
      </w:r>
      <w:r>
        <w:rPr>
          <w:highlight w:val="none"/>
          <w:shd w:val="clear" w:color="auto" w:fill="ffffff"/>
        </w:rPr>
      </w:r>
      <w:r>
        <w:rPr>
          <w:highlight w:val="none"/>
          <w:shd w:val="clear" w:color="auto" w:fill="ffffff"/>
        </w:rPr>
      </w:r>
    </w:p>
    <w:p>
      <w:pPr>
        <w:pStyle w:val="2007"/>
        <w:numPr>
          <w:ilvl w:val="0"/>
          <w:numId w:val="87"/>
        </w:numPr>
        <w:ind w:left="0" w:firstLine="709"/>
        <w:spacing w:before="0" w:after="0" w:line="360" w:lineRule="auto"/>
        <w:rPr>
          <w:highlight w:val="none"/>
          <w:shd w:val="clear" w:color="auto" w:fill="ffffff"/>
        </w:rPr>
      </w:pPr>
      <w:r>
        <w:rPr>
          <w:szCs w:val="24"/>
          <w:shd w:val="clear" w:color="auto" w:fill="ffffff"/>
        </w:rPr>
        <w:t xml:space="preserve">ГОСТ 12.1.004-91 «Пожарная безопасность. Общие требования»;</w:t>
      </w:r>
      <w:r>
        <w:rPr>
          <w:highlight w:val="none"/>
          <w:shd w:val="clear" w:color="auto" w:fill="ffffff"/>
        </w:rPr>
      </w:r>
      <w:r>
        <w:rPr>
          <w:highlight w:val="none"/>
          <w:shd w:val="clear" w:color="auto" w:fill="ffffff"/>
        </w:rPr>
      </w:r>
    </w:p>
    <w:p>
      <w:pPr>
        <w:pStyle w:val="2007"/>
        <w:numPr>
          <w:ilvl w:val="0"/>
          <w:numId w:val="88"/>
        </w:numPr>
        <w:ind w:left="0" w:firstLine="709"/>
        <w:spacing w:before="0" w:after="0" w:line="360" w:lineRule="auto"/>
        <w:rPr>
          <w:highlight w:val="none"/>
          <w:shd w:val="clear" w:color="auto" w:fill="ffffff"/>
        </w:rPr>
      </w:pPr>
      <w:r>
        <w:rPr>
          <w:szCs w:val="24"/>
          <w:shd w:val="clear" w:color="auto" w:fill="ffffff"/>
        </w:rPr>
        <w:t xml:space="preserve">СП 12.13130.2009 «Определение категорий помещений, зданий и наружных установок по взрывопожарной и пожарной опасности»;</w:t>
      </w:r>
      <w:r>
        <w:rPr>
          <w:highlight w:val="none"/>
          <w:shd w:val="clear" w:color="auto" w:fill="ffffff"/>
        </w:rPr>
      </w:r>
      <w:r>
        <w:rPr>
          <w:highlight w:val="none"/>
          <w:shd w:val="clear" w:color="auto" w:fill="ffffff"/>
        </w:rPr>
      </w:r>
    </w:p>
    <w:p>
      <w:pPr>
        <w:pStyle w:val="2007"/>
        <w:numPr>
          <w:ilvl w:val="0"/>
          <w:numId w:val="89"/>
        </w:numPr>
        <w:ind w:left="0" w:firstLine="709"/>
        <w:spacing w:before="0" w:after="0" w:line="360" w:lineRule="auto"/>
        <w:tabs>
          <w:tab w:val="left" w:pos="709" w:leader="none"/>
        </w:tabs>
        <w:rPr>
          <w:highlight w:val="none"/>
          <w:shd w:val="clear" w:color="auto" w:fill="ffffff"/>
        </w:rPr>
      </w:pPr>
      <w:r>
        <w:rPr>
          <w:szCs w:val="24"/>
          <w:shd w:val="clear" w:color="auto" w:fill="ffffff"/>
        </w:rPr>
        <w:t xml:space="preserve">СП 231.1311500.2015 «Обустройство нефтяных и газовых месторождений. Требования пожарной безопасности»;</w:t>
      </w:r>
      <w:r>
        <w:rPr>
          <w:highlight w:val="none"/>
          <w:shd w:val="clear" w:color="auto" w:fill="ffffff"/>
        </w:rPr>
      </w:r>
      <w:r>
        <w:rPr>
          <w:highlight w:val="none"/>
          <w:shd w:val="clear" w:color="auto" w:fill="ffffff"/>
        </w:rPr>
      </w:r>
    </w:p>
    <w:p>
      <w:pPr>
        <w:pStyle w:val="2007"/>
        <w:numPr>
          <w:ilvl w:val="0"/>
          <w:numId w:val="90"/>
        </w:numPr>
        <w:ind w:left="0" w:firstLine="709"/>
        <w:spacing w:before="0" w:after="0" w:line="360" w:lineRule="auto"/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Правила противопожарного режима в</w:t>
      </w:r>
      <w:r>
        <w:rPr>
          <w:rFonts w:eastAsia="Times New Roman" w:cs="Times New Roman"/>
          <w:color w:val="000000"/>
          <w:sz w:val="24"/>
          <w:szCs w:val="24"/>
          <w:shd w:val="clear" w:color="auto" w:fill="auto"/>
          <w:lang w:val="ru-RU" w:eastAsia="ru-RU" w:bidi="ar-SA"/>
        </w:rPr>
        <w:t xml:space="preserve"> РФ от16 сентября 2020 года №1479;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007"/>
        <w:numPr>
          <w:ilvl w:val="0"/>
          <w:numId w:val="91"/>
        </w:numPr>
        <w:ind w:left="0" w:firstLine="709"/>
        <w:spacing w:before="0" w:after="0" w:line="360" w:lineRule="auto"/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Инструкция о мерах пожарной безопасности на территории скважин.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firstLine="709"/>
        <w:spacing w:line="360" w:lineRule="auto"/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К работе рабочие и специалисты ГП допускаются только после прохождения противопожарного инструктажа.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firstLine="709"/>
        <w:spacing w:line="360" w:lineRule="auto"/>
        <w:rPr>
          <w:highlight w:val="none"/>
          <w:shd w:val="clear" w:color="auto" w:fill="auto"/>
        </w:rPr>
      </w:pPr>
      <w:r>
        <w:rPr>
          <w:szCs w:val="24"/>
          <w:shd w:val="clear" w:color="auto" w:fill="auto"/>
        </w:rPr>
        <w:t xml:space="preserve">На территории КГС курение запрещено. Руководитель ГП- обеспечивает размещение знаков пожарной безопасности.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firstLine="709"/>
        <w:spacing w:line="360" w:lineRule="auto"/>
        <w:rPr>
          <w:highlight w:val="none"/>
          <w:shd w:val="clear" w:color="auto" w:fill="ffffff"/>
        </w:rPr>
      </w:pPr>
      <w:r>
        <w:rPr>
          <w:szCs w:val="24"/>
          <w:shd w:val="clear" w:color="auto" w:fill="ffffff"/>
        </w:rPr>
        <w:t xml:space="preserve">Автотранспортные средств и техника, работающие на территориях КГС должны быть обеспечены искрогасителями.</w:t>
      </w:r>
      <w:r>
        <w:rPr>
          <w:highlight w:val="none"/>
          <w:shd w:val="clear" w:color="auto" w:fill="ffffff"/>
        </w:rPr>
      </w:r>
      <w:r>
        <w:rPr>
          <w:highlight w:val="none"/>
          <w:shd w:val="clear" w:color="auto" w:fill="ffffff"/>
        </w:rPr>
      </w:r>
    </w:p>
    <w:p>
      <w:pPr>
        <w:pStyle w:val="2167"/>
        <w:ind w:firstLine="709"/>
        <w:spacing w:line="360" w:lineRule="auto"/>
      </w:pPr>
      <w:r>
        <w:rPr>
          <w:szCs w:val="24"/>
          <w:shd w:val="clear" w:color="auto" w:fill="ffffff"/>
        </w:rPr>
        <w:t xml:space="preserve">На каждый взрывопожароопасный и пожароопасный объект (участок и т.п.) должны быть разработаны, исходя из специфики пожарной опасности, инструкции о мерах пожарной безопасности, отвечающие требованиям установле</w:t>
      </w:r>
      <w:r>
        <w:rPr>
          <w:szCs w:val="24"/>
          <w:shd w:val="clear" w:color="auto" w:fill="auto"/>
        </w:rPr>
        <w:t xml:space="preserve">нными </w:t>
      </w:r>
      <w:hyperlink r:id="rId81" w:tooltip="smb://srvzdoc03/F:/РЕГЛАМЕНТЫ/Регламент%20на%20согласование/СОГЛАСОВАНИЯ%20и%20ЗАМЕЧАНИЯ/От%20ООТ%20Текст_ТР%20на%20кусты%20ГС%20БНГКМ%20(Восстановлен).doc#Par1072" w:anchor="Par1072" w:history="1">
        <w:r>
          <w:rPr>
            <w:szCs w:val="24"/>
            <w:shd w:val="clear" w:color="auto" w:fill="ffffff"/>
          </w:rPr>
          <w:t xml:space="preserve">разделом XVIII</w:t>
        </w:r>
      </w:hyperlink>
      <w:r>
        <w:rPr>
          <w:szCs w:val="24"/>
          <w:shd w:val="clear" w:color="auto" w:fill="auto"/>
        </w:rPr>
        <w:t xml:space="preserve"> </w:t>
      </w:r>
      <w:r>
        <w:rPr>
          <w:szCs w:val="24"/>
          <w:shd w:val="clear" w:color="auto" w:fill="ffffff"/>
        </w:rPr>
        <w:t xml:space="preserve">«Правил противопожарного режима в РФ», которые согласовываются и утверждаются в установленном порядке.</w:t>
      </w:r>
      <w:r/>
    </w:p>
    <w:p>
      <w:pPr>
        <w:pStyle w:val="1999"/>
        <w:ind w:firstLine="709"/>
        <w:spacing w:before="0" w:after="0" w:line="360" w:lineRule="auto"/>
        <w:widowControl w:val="off"/>
        <w:tabs>
          <w:tab w:val="left" w:pos="-5040" w:leader="none"/>
          <w:tab w:val="clear" w:pos="709" w:leader="none"/>
        </w:tabs>
        <w:rPr>
          <w:highlight w:val="none"/>
          <w:shd w:val="clear" w:color="auto" w:fill="ffffff"/>
        </w:rPr>
      </w:pPr>
      <w:r>
        <w:rPr>
          <w:szCs w:val="24"/>
          <w:shd w:val="clear" w:color="auto" w:fill="ffffff"/>
        </w:rPr>
        <w:t xml:space="preserve">На каждом объекте на видном месте должна быть вывешена табличка с указанием номеров телефонов вызова пожарной охраны, должности и фамилии лица, ответственного за пожарную безопасность объекта.</w:t>
      </w:r>
      <w:r>
        <w:rPr>
          <w:highlight w:val="none"/>
          <w:shd w:val="clear" w:color="auto" w:fill="ffffff"/>
        </w:rPr>
      </w:r>
      <w:r>
        <w:rPr>
          <w:highlight w:val="none"/>
          <w:shd w:val="clear" w:color="auto" w:fill="ffffff"/>
        </w:rPr>
      </w:r>
    </w:p>
    <w:p>
      <w:pPr>
        <w:pStyle w:val="1999"/>
        <w:ind w:firstLine="709"/>
        <w:spacing w:before="0" w:after="0" w:line="360" w:lineRule="auto"/>
        <w:widowControl w:val="off"/>
        <w:tabs>
          <w:tab w:val="left" w:pos="-5040" w:leader="none"/>
          <w:tab w:val="clear" w:pos="709" w:leader="none"/>
        </w:tabs>
        <w:rPr>
          <w:highlight w:val="none"/>
          <w:shd w:val="clear" w:color="auto" w:fill="ffffff"/>
        </w:rPr>
      </w:pPr>
      <w:r>
        <w:rPr>
          <w:szCs w:val="24"/>
          <w:shd w:val="clear" w:color="auto" w:fill="ffffff"/>
        </w:rPr>
        <w:t xml:space="preserve">Места проведения огневых работ обеспечиваются первичными средствами пожаротушения. </w:t>
      </w:r>
      <w:r>
        <w:rPr>
          <w:highlight w:val="none"/>
          <w:shd w:val="clear" w:color="auto" w:fill="ffffff"/>
        </w:rPr>
      </w:r>
      <w:r>
        <w:rPr>
          <w:highlight w:val="none"/>
          <w:shd w:val="clear" w:color="auto" w:fill="ffffff"/>
        </w:rPr>
      </w:r>
    </w:p>
    <w:p>
      <w:pPr>
        <w:pStyle w:val="1999"/>
        <w:ind w:firstLine="709"/>
        <w:spacing w:before="0" w:after="0" w:line="360" w:lineRule="auto"/>
        <w:widowControl w:val="off"/>
        <w:tabs>
          <w:tab w:val="left" w:pos="-5040" w:leader="none"/>
          <w:tab w:val="clear" w:pos="709" w:leader="none"/>
        </w:tabs>
        <w:rPr>
          <w:highlight w:val="none"/>
          <w:shd w:val="clear" w:color="auto" w:fill="ffffff"/>
        </w:rPr>
      </w:pPr>
      <w:r>
        <w:rPr>
          <w:szCs w:val="24"/>
          <w:shd w:val="clear" w:color="auto" w:fill="ffffff"/>
        </w:rPr>
        <w:t xml:space="preserve">В местах подъезда к коммуникациям, находящимся под избыточным давлением газа, должны быть установлены предупреждающие и запрещающие знаки «Газоопасно», «Проезд запрещён», «Посторонним лицам проход запрещён» и др.</w:t>
      </w:r>
      <w:r>
        <w:rPr>
          <w:highlight w:val="none"/>
          <w:shd w:val="clear" w:color="auto" w:fill="ffffff"/>
        </w:rPr>
      </w:r>
      <w:r>
        <w:rPr>
          <w:highlight w:val="none"/>
          <w:shd w:val="clear" w:color="auto" w:fill="ffffff"/>
        </w:rPr>
      </w:r>
    </w:p>
    <w:p>
      <w:pPr>
        <w:pStyle w:val="1999"/>
        <w:ind w:firstLine="709"/>
        <w:spacing w:before="0" w:after="0" w:line="360" w:lineRule="auto"/>
        <w:widowControl w:val="off"/>
        <w:tabs>
          <w:tab w:val="left" w:pos="-5040" w:leader="none"/>
          <w:tab w:val="clear" w:pos="709" w:leader="none"/>
        </w:tabs>
        <w:rPr>
          <w:highlight w:val="none"/>
          <w:shd w:val="clear" w:color="auto" w:fill="ffffff"/>
        </w:rPr>
      </w:pPr>
      <w:r>
        <w:rPr>
          <w:szCs w:val="24"/>
          <w:shd w:val="clear" w:color="auto" w:fill="ffffff"/>
        </w:rPr>
        <w:t xml:space="preserve">Отогревание тру</w:t>
      </w:r>
      <w:r>
        <w:rPr>
          <w:szCs w:val="24"/>
          <w:shd w:val="clear" w:color="auto" w:fill="ffffff"/>
        </w:rPr>
        <w:t xml:space="preserve">бопроводов коммуникаций и запорных устройств разрешается производить паром, горячей водой и другими безопасными в пожарном отношении способами, соблюдая необходимые меры безопасности от возможных ударов гидратных пробок внутри трубопроводов и коммуникаций.</w:t>
      </w:r>
      <w:r>
        <w:rPr>
          <w:highlight w:val="none"/>
          <w:shd w:val="clear" w:color="auto" w:fill="ffffff"/>
        </w:rPr>
      </w:r>
      <w:r>
        <w:rPr>
          <w:highlight w:val="none"/>
          <w:shd w:val="clear" w:color="auto" w:fill="ffffff"/>
        </w:rPr>
      </w:r>
    </w:p>
    <w:p>
      <w:pPr>
        <w:pStyle w:val="2167"/>
        <w:ind w:firstLine="709"/>
        <w:spacing w:line="360" w:lineRule="auto"/>
        <w:rPr>
          <w:highlight w:val="none"/>
          <w:shd w:val="clear" w:color="auto" w:fill="ffffff"/>
        </w:rPr>
      </w:pPr>
      <w:r>
        <w:rPr>
          <w:szCs w:val="24"/>
          <w:shd w:val="clear" w:color="auto" w:fill="ffffff"/>
        </w:rPr>
        <w:t xml:space="preserve">Наружное водяное пожаротушение на площадках кустов скважин предусматривается от передвижной пожарной техники. Подвоз воды осуществляется от резервуаров противопожарного запаса воды, расположенной на территории ГП-.</w:t>
      </w:r>
      <w:r>
        <w:rPr>
          <w:highlight w:val="none"/>
          <w:shd w:val="clear" w:color="auto" w:fill="ffffff"/>
        </w:rPr>
      </w:r>
      <w:r>
        <w:rPr>
          <w:highlight w:val="none"/>
          <w:shd w:val="clear" w:color="auto" w:fill="ffffff"/>
        </w:rPr>
      </w:r>
    </w:p>
    <w:p>
      <w:pPr>
        <w:pStyle w:val="1999"/>
        <w:ind w:firstLine="709"/>
        <w:spacing w:before="0" w:after="0" w:line="360" w:lineRule="auto"/>
        <w:rPr>
          <w:highlight w:val="none"/>
          <w:shd w:val="clear" w:color="auto" w:fill="ffffff"/>
        </w:rPr>
      </w:pPr>
      <w:r>
        <w:rPr>
          <w:rFonts w:cs="Times New Roman"/>
          <w:szCs w:val="24"/>
          <w:shd w:val="clear" w:color="auto" w:fill="ffffff"/>
        </w:rPr>
        <w:t xml:space="preserve">Действия персонала при возникновении пожара на КГС изложены в планах ликвидации аварийных ситуаций (ПЛА). ПЛА является обязательным документом УКПГ и должен постоянно находится на рабочем месте (операторная УКПГ).</w:t>
      </w:r>
      <w:r>
        <w:rPr>
          <w:highlight w:val="none"/>
          <w:shd w:val="clear" w:color="auto" w:fill="ffffff"/>
        </w:rPr>
      </w:r>
      <w:r>
        <w:rPr>
          <w:highlight w:val="none"/>
          <w:shd w:val="clear" w:color="auto" w:fill="ffffff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b/>
          <w:spacing w:val="-2"/>
          <w:szCs w:val="24"/>
        </w:rPr>
      </w:pPr>
      <w:r/>
      <w:bookmarkStart w:id="161" w:name="_Toc389464437"/>
      <w:r/>
      <w:bookmarkStart w:id="162" w:name="_Toc385183430"/>
      <w:r/>
      <w:bookmarkStart w:id="163" w:name="_Toc385427503"/>
      <w:r/>
      <w:bookmarkStart w:id="164" w:name="_Toc385517766"/>
      <w:r/>
      <w:bookmarkStart w:id="165" w:name="_Toc385183293"/>
      <w:r/>
      <w:bookmarkStart w:id="166" w:name="_Toc13992438"/>
      <w:r/>
      <w:bookmarkStart w:id="167" w:name="_Toc13315988"/>
      <w:r/>
      <w:bookmarkStart w:id="168" w:name="_Toc385183533"/>
      <w:r/>
      <w:bookmarkStart w:id="169" w:name="_Toc184786983_Копия_1"/>
      <w:r/>
      <w:bookmarkStart w:id="170" w:name="_Toc184786814_Копия_1"/>
      <w:r/>
      <w:bookmarkStart w:id="171" w:name="_Toc184786988_Копия_1"/>
      <w:r/>
      <w:bookmarkStart w:id="172" w:name="_Toc385517765_Копия_1"/>
      <w:r/>
      <w:bookmarkStart w:id="173" w:name="_Toc385427502_Копия_1"/>
      <w:r/>
      <w:bookmarkStart w:id="174" w:name="_Toc184786809_Копия_1"/>
      <w:r/>
      <w:bookmarkStart w:id="175" w:name="_Toc385183292_Копия_1"/>
      <w:r/>
      <w:bookmarkStart w:id="176" w:name="_Toc184727320_Копия_1"/>
      <w:r/>
      <w:bookmarkStart w:id="177" w:name="_Toc184800460_Копия_1"/>
      <w:r/>
      <w:bookmarkStart w:id="178" w:name="_Toc184800465_Копия_1"/>
      <w:r/>
      <w:bookmarkStart w:id="179" w:name="_Toc385183532_Копия_1"/>
      <w:r/>
      <w:bookmarkStart w:id="180" w:name="_Toc385183429_Копия_1"/>
      <w:r/>
      <w:bookmarkStart w:id="181" w:name="_Toc184727325_Копия_1"/>
      <w:r/>
      <w:bookmarkEnd w:id="169"/>
      <w:r/>
      <w:bookmarkEnd w:id="170"/>
      <w:r/>
      <w:bookmarkEnd w:id="171"/>
      <w:r/>
      <w:bookmarkEnd w:id="172"/>
      <w:r/>
      <w:bookmarkEnd w:id="173"/>
      <w:r/>
      <w:bookmarkEnd w:id="174"/>
      <w:r/>
      <w:bookmarkEnd w:id="175"/>
      <w:r/>
      <w:bookmarkEnd w:id="176"/>
      <w:r/>
      <w:bookmarkEnd w:id="177"/>
      <w:r/>
      <w:bookmarkEnd w:id="178"/>
      <w:r/>
      <w:bookmarkEnd w:id="179"/>
      <w:r/>
      <w:bookmarkEnd w:id="180"/>
      <w:r/>
      <w:bookmarkEnd w:id="181"/>
      <w:r>
        <w:rPr>
          <w:b/>
          <w:spacing w:val="-2"/>
          <w:szCs w:val="24"/>
        </w:rPr>
        <w:t xml:space="preserve">7.7 Обеспечение взрывобезопасности при проведении газоопасных и огневых работ</w:t>
      </w:r>
      <w:bookmarkEnd w:id="161"/>
      <w:r/>
      <w:bookmarkEnd w:id="162"/>
      <w:r/>
      <w:bookmarkEnd w:id="163"/>
      <w:r/>
      <w:bookmarkEnd w:id="164"/>
      <w:r/>
      <w:bookmarkEnd w:id="165"/>
      <w:r/>
      <w:bookmarkEnd w:id="166"/>
      <w:r/>
      <w:bookmarkEnd w:id="167"/>
      <w:r/>
      <w:bookmarkEnd w:id="168"/>
      <w:r>
        <w:rPr>
          <w:b/>
          <w:spacing w:val="-2"/>
          <w:szCs w:val="24"/>
        </w:rPr>
      </w:r>
      <w:r>
        <w:rPr>
          <w:b/>
          <w:spacing w:val="-2"/>
          <w:szCs w:val="24"/>
        </w:rPr>
      </w:r>
    </w:p>
    <w:p>
      <w:pPr>
        <w:pStyle w:val="1999"/>
        <w:ind w:firstLine="709"/>
        <w:spacing w:before="0" w:after="0" w:line="360" w:lineRule="auto"/>
        <w:rPr>
          <w:szCs w:val="24"/>
        </w:rPr>
      </w:pPr>
      <w:r>
        <w:rPr>
          <w:szCs w:val="24"/>
        </w:rPr>
        <w:t xml:space="preserve">Выполнение газоопасных и огневых работ на ОПО фонд скважин ГП- должно производиться со</w:t>
      </w:r>
      <w:r>
        <w:rPr>
          <w:szCs w:val="24"/>
        </w:rPr>
        <w:t xml:space="preserve">гласно «Инструкция по организации безопасного проведения газоопасных работ на опасных производственных объектах  и «Инструкция по безопасному ведению огневых работ на опасных производственных объектах .</w:t>
      </w:r>
      <w:r>
        <w:rPr>
          <w:szCs w:val="24"/>
        </w:rPr>
      </w:r>
      <w:r>
        <w:rPr>
          <w:szCs w:val="24"/>
        </w:rPr>
      </w:r>
    </w:p>
    <w:p>
      <w:pPr>
        <w:sectPr>
          <w:headerReference w:type="default" r:id="rId28"/>
          <w:headerReference w:type="first" r:id="rId29"/>
          <w:footerReference w:type="default" r:id="rId59"/>
          <w:footerReference w:type="first" r:id="rId60"/>
          <w:footnotePr/>
          <w:endnotePr/>
          <w:type w:val="nextPage"/>
          <w:pgSz w:w="11906" w:h="16838" w:orient="portrait"/>
          <w:pgMar w:top="1134" w:right="851" w:bottom="1134" w:left="1701" w:header="567" w:footer="567" w:gutter="0"/>
          <w:cols w:num="1" w:sep="0" w:space="708" w:equalWidth="1"/>
          <w:docGrid w:linePitch="360"/>
          <w:titlePg/>
        </w:sectPr>
      </w:pPr>
      <w:r/>
      <w:r/>
    </w:p>
    <w:p>
      <w:pPr>
        <w:pStyle w:val="2168"/>
        <w:ind w:firstLine="709"/>
        <w:spacing w:before="0" w:after="0" w:line="360" w:lineRule="auto"/>
        <w:rPr>
          <w:sz w:val="22"/>
        </w:rPr>
      </w:pPr>
      <w:r/>
      <w:bookmarkStart w:id="182" w:name="_Toc13992441"/>
      <w:r/>
      <w:bookmarkStart w:id="183" w:name="_Toc527898080"/>
      <w:r>
        <w:rPr>
          <w:b/>
        </w:rPr>
        <w:t xml:space="preserve">8 </w:t>
      </w:r>
      <w:bookmarkEnd w:id="182"/>
      <w:r/>
      <w:bookmarkEnd w:id="183"/>
      <w:r>
        <w:rPr>
          <w:b/>
        </w:rPr>
        <w:t xml:space="preserve">МЕТОДЫ И СРЕДСТВА ЗАЩИТЫ, РАБОТАЮЩИХ ОТ ПРОИЗВОДСТВЕННЫХ ОПАСНОСТЕЙ</w:t>
      </w:r>
      <w:r>
        <w:rPr>
          <w:sz w:val="22"/>
        </w:rPr>
      </w:r>
      <w:r>
        <w:rPr>
          <w:sz w:val="22"/>
        </w:rPr>
      </w:r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b/>
        </w:rPr>
      </w:pPr>
      <w:r/>
      <w:bookmarkStart w:id="184" w:name="_Toc13992442"/>
      <w:r/>
      <w:bookmarkStart w:id="185" w:name="_Toc527898081"/>
      <w:r>
        <w:rPr>
          <w:b/>
        </w:rPr>
        <w:t xml:space="preserve">8.1 Методы и средства контроля за содержанием взрывоопасных и токсичных веществ в воздухе рабочей зоны</w:t>
      </w:r>
      <w:bookmarkEnd w:id="184"/>
      <w:r/>
      <w:bookmarkEnd w:id="185"/>
      <w:r>
        <w:rPr>
          <w:b/>
        </w:rPr>
      </w:r>
      <w:r>
        <w:rPr>
          <w:b/>
        </w:rPr>
      </w:r>
    </w:p>
    <w:p>
      <w:pPr>
        <w:pStyle w:val="2167"/>
        <w:ind w:firstLine="709"/>
        <w:rPr>
          <w:rFonts w:cs="Times New Roman"/>
          <w:sz w:val="22"/>
        </w:rPr>
      </w:pPr>
      <w:r>
        <w:rPr>
          <w:rFonts w:cs="Times New Roman"/>
        </w:rPr>
        <w:t xml:space="preserve">Для определения состояния воздуш</w:t>
      </w:r>
      <w:r>
        <w:rPr>
          <w:rFonts w:cs="Times New Roman"/>
        </w:rPr>
        <w:t xml:space="preserve">ной среды и своевременного устранения причин загазованности на взрывопожароопасных объектах Филиал организуется контроль воздушной среды на содержание токсичных и взрывоопасных концентраций газов в рабочих зонах с использованием портативных газоанализаторов.</w:t>
      </w:r>
      <w:r>
        <w:rPr>
          <w:rFonts w:cs="Times New Roman"/>
          <w:sz w:val="22"/>
        </w:rPr>
      </w:r>
      <w:r>
        <w:rPr>
          <w:rFonts w:cs="Times New Roman"/>
          <w:sz w:val="22"/>
        </w:rPr>
      </w:r>
    </w:p>
    <w:p>
      <w:pPr>
        <w:pStyle w:val="2168"/>
        <w:ind w:firstLine="709"/>
        <w:spacing w:before="0" w:after="0" w:line="360" w:lineRule="auto"/>
        <w:rPr>
          <w:b/>
        </w:rPr>
      </w:pPr>
      <w:r/>
      <w:bookmarkStart w:id="186" w:name="_Toc13992443"/>
      <w:r/>
      <w:bookmarkStart w:id="187" w:name="_Toc527898082"/>
      <w:r>
        <w:rPr>
          <w:b/>
        </w:rPr>
        <w:t xml:space="preserve">8.2 Периодичность и методы контроля за образованием в процессе эксплуатации производства взрывоопасных концентраций</w:t>
      </w:r>
      <w:bookmarkEnd w:id="186"/>
      <w:r/>
      <w:bookmarkEnd w:id="187"/>
      <w:r>
        <w:rPr>
          <w:b/>
        </w:rPr>
      </w:r>
      <w:r>
        <w:rPr>
          <w:b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Контроль воздушной среды на территории ОПО фонд скважин переносными газоанализаторами осуществляется обслуживающим персоналом объекта.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Для проведения контроля параметров воздушной среды должны использоваться газоанализаторы, допущенные к применению в Российской Федерации и включённые в Государственный Реестр средств измерения России; имеющие: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007"/>
        <w:numPr>
          <w:ilvl w:val="0"/>
          <w:numId w:val="9"/>
        </w:numPr>
        <w:contextualSpacing/>
        <w:ind w:left="0" w:firstLine="709"/>
        <w:spacing w:before="0" w:after="0" w:line="360" w:lineRule="auto"/>
      </w:pPr>
      <w:r>
        <w:t xml:space="preserve">свидетельство о взрывозащищённости;</w:t>
      </w:r>
      <w:r/>
    </w:p>
    <w:p>
      <w:pPr>
        <w:pStyle w:val="2007"/>
        <w:numPr>
          <w:ilvl w:val="0"/>
          <w:numId w:val="9"/>
        </w:numPr>
        <w:contextualSpacing/>
        <w:ind w:left="0" w:firstLine="709"/>
        <w:spacing w:before="0" w:after="0" w:line="360" w:lineRule="auto"/>
      </w:pPr>
      <w:r>
        <w:t xml:space="preserve">паспорт;</w:t>
      </w:r>
      <w:r/>
    </w:p>
    <w:p>
      <w:pPr>
        <w:pStyle w:val="2007"/>
        <w:numPr>
          <w:ilvl w:val="0"/>
          <w:numId w:val="9"/>
        </w:numPr>
        <w:contextualSpacing/>
        <w:ind w:left="0" w:firstLine="709"/>
        <w:spacing w:before="0" w:after="0" w:line="360" w:lineRule="auto"/>
      </w:pPr>
      <w:r>
        <w:t xml:space="preserve">руководство по эксплуатации;</w:t>
      </w:r>
      <w:r/>
    </w:p>
    <w:p>
      <w:pPr>
        <w:pStyle w:val="2007"/>
        <w:numPr>
          <w:ilvl w:val="0"/>
          <w:numId w:val="9"/>
        </w:numPr>
        <w:contextualSpacing/>
        <w:ind w:left="0" w:firstLine="709"/>
        <w:spacing w:before="0" w:after="0" w:line="360" w:lineRule="auto"/>
      </w:pPr>
      <w:r>
        <w:t xml:space="preserve">методику поверки;</w:t>
      </w:r>
      <w:r/>
    </w:p>
    <w:p>
      <w:pPr>
        <w:pStyle w:val="2007"/>
        <w:numPr>
          <w:ilvl w:val="0"/>
          <w:numId w:val="9"/>
        </w:numPr>
        <w:contextualSpacing/>
        <w:ind w:left="0" w:firstLine="709"/>
        <w:spacing w:before="0" w:after="0" w:line="360" w:lineRule="auto"/>
      </w:pPr>
      <w:r>
        <w:t xml:space="preserve">сертификат об утверждении типа средств измерений;</w:t>
      </w:r>
      <w:r/>
    </w:p>
    <w:p>
      <w:pPr>
        <w:pStyle w:val="2007"/>
        <w:numPr>
          <w:ilvl w:val="0"/>
          <w:numId w:val="9"/>
        </w:numPr>
        <w:contextualSpacing/>
        <w:ind w:left="0" w:firstLine="709"/>
        <w:spacing w:before="0" w:after="0" w:line="360" w:lineRule="auto"/>
      </w:pPr>
      <w:r>
        <w:t xml:space="preserve">действующее свидетельство о поверке;</w:t>
      </w:r>
      <w:r/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Переносные газоанализаторы должны проходить поверку не реже одного раза в 12 месяцев. На каждый применяемый переносной прибор контроля воздушной среды должно быть действующее свидетельство о поверке.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Периодическая проверка работоспособности переносных газоанализаторов проводится в соответствии с требованиями руководства по эксплуатации прибора.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Запрещается эксплуатация приборов контроля, не прошедших поверку или с просроченным сроком поверки, не имеющих паспорта и сертификата.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Поддержание исправного состояния, проведение планово-предупредительных ремонтов и поверку приборов контроля, организовывает инженер по КИПиА ГП-.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Замеры проводит персонал, допущенный к проведению замеров воздушной среды в установленном порядке. Для проведения замеров используются переносные газоанализаторы.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При проведении замеров переносным газоанализатором следует руководствоваться рекомендациями заводов-изготовителей и инструкциями по эксплуатации.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При проведении замеров не допускается перемещать пробоотборное устройство газоанализатора в горизонтальной или вертикальной плоскостях до получения устойчивых показаний прибора.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Для исключения погрешности измерений температура отбираемой пробы воздуха должна быть равной температуре корпуса газоанализатора.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Контроль воздушной среды проводится портативными газоана</w:t>
      </w:r>
      <w:r>
        <w:rPr>
          <w:rFonts w:cs="Times New Roman"/>
        </w:rPr>
        <w:t xml:space="preserve">лизаторами при ежемесячных замерах устьевых параметров скважин. Контроль воздушной среды проводится при выполнении работ повышенной опасности, при которых возможны выделения паров и газов в рабочей зоне, на уровне дыхания человека, с подветренной стороны. 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При обнаружении в воздушной среде содержания опасных веществ выше 10% от нижнего концентрационного предела распространения пламени (НКПР) необходимо приостановить проведение работ, оповестить руководителя</w:t>
      </w:r>
      <w:r>
        <w:rPr>
          <w:rFonts w:cs="Times New Roman"/>
        </w:rPr>
        <w:t xml:space="preserve"> работ и находящихся в опасной зоне людей. Принять меры для выявления и устранения причин загазованности, в случае возникновения аварийной ситуации персонал ГП- действует в соответствии с Планом мероприятий по локализации и ликвидации последствий аварий.</w:t>
      </w:r>
      <w:r>
        <w:rPr>
          <w:rFonts w:cs="Times New Roman"/>
        </w:rPr>
      </w:r>
      <w:r>
        <w:rPr>
          <w:rFonts w:cs="Times New Roman"/>
        </w:rPr>
      </w:r>
    </w:p>
    <w:p>
      <w:pPr>
        <w:sectPr>
          <w:headerReference w:type="default" r:id="rId30"/>
          <w:headerReference w:type="first" r:id="rId31"/>
          <w:footerReference w:type="default" r:id="rId61"/>
          <w:footerReference w:type="first" r:id="rId62"/>
          <w:footnotePr/>
          <w:endnotePr/>
          <w:type w:val="nextPage"/>
          <w:pgSz w:w="11906" w:h="16838" w:orient="portrait"/>
          <w:pgMar w:top="1134" w:right="851" w:bottom="1134" w:left="1701" w:header="567" w:footer="567" w:gutter="0"/>
          <w:cols w:num="1" w:sep="0" w:space="708" w:equalWidth="1"/>
          <w:docGrid w:linePitch="360"/>
          <w:titlePg/>
        </w:sectPr>
      </w:pPr>
      <w:r/>
      <w:r/>
    </w:p>
    <w:p>
      <w:pPr>
        <w:pStyle w:val="2168"/>
        <w:ind w:firstLine="709"/>
        <w:spacing w:before="0" w:after="0" w:line="360" w:lineRule="auto"/>
        <w:rPr>
          <w:b/>
        </w:rPr>
      </w:pPr>
      <w:r/>
      <w:bookmarkStart w:id="188" w:name="_Toc13992444"/>
      <w:r/>
      <w:bookmarkStart w:id="189" w:name="_Toc527898083"/>
      <w:r>
        <w:rPr>
          <w:b/>
        </w:rPr>
        <w:t xml:space="preserve">9 ДОПОЛНИТЕЛЬНЫЕ МЕРЫ БЕЗОПАСНОСТИ ПРИ </w:t>
      </w:r>
      <w:bookmarkEnd w:id="189"/>
      <w:r>
        <w:rPr>
          <w:b/>
        </w:rPr>
        <w:t xml:space="preserve">ЭКСПЛУАТАЦИИ</w:t>
      </w:r>
      <w:bookmarkEnd w:id="188"/>
      <w:r>
        <w:rPr>
          <w:b/>
        </w:rPr>
      </w:r>
      <w:r>
        <w:rPr>
          <w:b/>
        </w:rPr>
      </w:r>
    </w:p>
    <w:p>
      <w:pPr>
        <w:pStyle w:val="2167"/>
        <w:ind w:firstLine="709"/>
        <w:rPr>
          <w:rFonts w:cs="Times New Roman"/>
          <w:highlight w:val="none"/>
        </w:rPr>
      </w:pPr>
      <w:r>
        <w:rPr>
          <w:rFonts w:cs="Times New Roman"/>
        </w:rPr>
        <w:t xml:space="preserve">Перед началом</w:t>
      </w:r>
      <w:r>
        <w:rPr>
          <w:rFonts w:cs="Times New Roman"/>
        </w:rPr>
        <w:t xml:space="preserve"> плановых работ, связанных с подготовкой оборудования к разгерметизации, осмотру и ремонту, руководитель работ должен разработать план производства работ, в котором должны быть определены дополнительные мероприятия и меры безопасности при выполнении работ.</w:t>
      </w:r>
      <w:r>
        <w:rPr>
          <w:rFonts w:cs="Times New Roman"/>
          <w:highlight w:val="none"/>
        </w:rPr>
      </w:r>
      <w:r>
        <w:rPr>
          <w:rFonts w:cs="Times New Roman"/>
          <w:highlight w:val="none"/>
        </w:rPr>
      </w:r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</w:pPr>
      <w:r>
        <w:rPr>
          <w:b/>
        </w:rPr>
        <w:t xml:space="preserve">9.1 </w:t>
      </w:r>
      <w:r>
        <w:rPr>
          <w:b/>
          <w:bCs/>
        </w:rPr>
        <w:t xml:space="preserve">Безопасные методы обращения с пирофорными отложениями</w:t>
      </w:r>
      <w:r/>
    </w:p>
    <w:p>
      <w:pPr>
        <w:pStyle w:val="2167"/>
        <w:ind w:firstLine="709"/>
        <w:rPr>
          <w:rFonts w:cs="Times New Roman"/>
          <w14:ligatures w14:val="none"/>
        </w:rPr>
      </w:pPr>
      <w:r>
        <w:rPr>
          <w:rFonts w:cs="Times New Roman"/>
        </w:rPr>
        <w:t xml:space="preserve">Пирофорные</w:t>
      </w:r>
      <w:r>
        <w:rPr>
          <w:rFonts w:cs="Times New Roman"/>
        </w:rPr>
        <w:t xml:space="preserve"> отложения в процессе производственной деятельности в оборудовании не образуются в связи с отсутствием серы и сернистых соединений в исходном сырье (пластовом флюиде). По этой причине дополнительные меры безопасности настоящим регламентом не предусмотрены.</w:t>
      </w:r>
      <w:r>
        <w:rPr>
          <w:rFonts w:cs="Times New Roman"/>
          <w14:ligatures w14:val="none"/>
        </w:rPr>
      </w:r>
      <w:r>
        <w:rPr>
          <w:rFonts w:cs="Times New Roman"/>
          <w14:ligatures w14:val="none"/>
        </w:rPr>
      </w:r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b/>
        </w:rPr>
      </w:pPr>
      <w:r/>
      <w:bookmarkStart w:id="190" w:name="_Toc13992445"/>
      <w:r>
        <w:rPr>
          <w:b/>
        </w:rPr>
        <w:t xml:space="preserve">9.2 Способы обезвреживания и нейтрализации продуктов производства при разливах и авариях</w:t>
      </w:r>
      <w:bookmarkEnd w:id="190"/>
      <w:r>
        <w:rPr>
          <w:b/>
        </w:rPr>
      </w:r>
      <w:r>
        <w:rPr>
          <w:b/>
        </w:rPr>
      </w:r>
    </w:p>
    <w:p>
      <w:pPr>
        <w:pStyle w:val="2167"/>
        <w:ind w:firstLine="709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Работы по обезвреживанию и нейтрализации продуктов при разливах и авариях проводятся в соответствии с ПМЛА, с указаниями ответственного руководителя работ по ликвидации аварии, при соблюдении мер пожарной и личной безопасности.</w:t>
      </w:r>
      <w:r>
        <w:rPr>
          <w:rFonts w:cs="Times New Roman"/>
          <w:szCs w:val="24"/>
        </w:rPr>
      </w:r>
      <w:r>
        <w:rPr>
          <w:rFonts w:cs="Times New Roman"/>
          <w:szCs w:val="24"/>
        </w:rPr>
      </w:r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b/>
        </w:rPr>
      </w:pPr>
      <w:r/>
      <w:bookmarkStart w:id="191" w:name="_Toc13992446"/>
      <w:r>
        <w:rPr>
          <w:b/>
        </w:rPr>
        <w:t xml:space="preserve">9.3 Средства индивидуальной, коллективной защиты, смывающие и обезвреживающие средства</w:t>
      </w:r>
      <w:bookmarkEnd w:id="191"/>
      <w:r>
        <w:rPr>
          <w:b/>
        </w:rPr>
      </w:r>
      <w:r>
        <w:rPr>
          <w:b/>
        </w:rPr>
      </w:r>
    </w:p>
    <w:p>
      <w:pPr>
        <w:pStyle w:val="2167"/>
        <w:ind w:left="0" w:right="0" w:firstLine="709"/>
      </w:pPr>
      <w:r>
        <w:rPr>
          <w:rFonts w:cs="Times New Roman"/>
          <w:shd w:val="clear" w:color="auto" w:fill="auto"/>
        </w:rPr>
        <w:t xml:space="preserve">9.3.1 Согласно ТК РФ, </w:t>
      </w:r>
      <w:r>
        <w:rPr>
          <w:rFonts w:eastAsia="Times New Roman" w:cs="Times New Roman"/>
          <w:color w:val="000000"/>
          <w:sz w:val="24"/>
          <w:shd w:val="clear" w:color="auto" w:fill="auto"/>
        </w:rPr>
        <w:t xml:space="preserve">для  защиты от воздействия вредных и (или) опасных фактор</w:t>
      </w:r>
      <w:r>
        <w:rPr>
          <w:rFonts w:eastAsia="Times New Roman" w:cs="Times New Roman"/>
          <w:color w:val="000000"/>
          <w:sz w:val="24"/>
          <w:shd w:val="clear" w:color="auto" w:fill="auto"/>
        </w:rPr>
        <w:t xml:space="preserve">ов производственной среды и (или) загрязнения, а также на работах, выполняемых в особых температурных условиях, работникам бесплатно выдаются средства индивидуальной защиты и смывающие средства, прошедшие подтверждение соответствия в порядке, установленном</w:t>
      </w:r>
      <w:r>
        <w:rPr>
          <w:rFonts w:eastAsia="Times New Roman" w:cs="Times New Roman"/>
          <w:color w:val="000000"/>
          <w:sz w:val="24"/>
          <w:szCs w:val="24"/>
          <w:shd w:val="clear" w:color="auto" w:fill="auto"/>
        </w:rPr>
        <w:t xml:space="preserve"> законодательством </w:t>
      </w:r>
      <w:r>
        <w:rPr>
          <w:rFonts w:eastAsia="Times New Roman" w:cs="Times New Roman"/>
          <w:color w:val="000000"/>
          <w:sz w:val="24"/>
          <w:shd w:val="clear" w:color="auto" w:fill="auto"/>
        </w:rPr>
        <w:t xml:space="preserve">Российской Федерации о техническом регулировании.</w:t>
      </w:r>
      <w:r/>
    </w:p>
    <w:p>
      <w:pPr>
        <w:pStyle w:val="2167"/>
        <w:ind w:left="0" w:right="0" w:firstLine="709"/>
        <w:rPr>
          <w:highlight w:val="none"/>
          <w:shd w:val="clear" w:color="auto" w:fill="auto"/>
        </w:rPr>
      </w:pPr>
      <w:r/>
      <w:bookmarkStart w:id="192" w:name="undefined"/>
      <w:r/>
      <w:bookmarkEnd w:id="192"/>
      <w:r>
        <w:rPr>
          <w:rFonts w:cs="Times New Roman"/>
          <w:shd w:val="clear" w:color="auto" w:fill="auto"/>
        </w:rPr>
        <w:t xml:space="preserve">9.3.2 Средства индивидуальной защиты работников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</w:rPr>
      </w:pPr>
      <w:r>
        <w:rPr>
          <w:rFonts w:cs="Times New Roman"/>
          <w:shd w:val="clear" w:color="auto" w:fill="auto"/>
        </w:rPr>
        <w:t xml:space="preserve">Под средствами индивидуальной защиты (далее – СИЗ) понимаются средства индивидуального пользования, которые применяются для предотвращения или уменьшения воз</w:t>
      </w:r>
      <w:r>
        <w:rPr>
          <w:rFonts w:cs="Times New Roman"/>
          <w:shd w:val="clear" w:color="auto" w:fill="auto"/>
        </w:rPr>
        <w:t xml:space="preserve">действия на работников вредных и (или) опасных производственных факторов, а также для защиты от загрязнения. При этом СИЗ не должны быть источником опасных и вредных производственных факторов и должны отвечать требованиям технической эстетики и эргономики.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</w:rPr>
      </w:pPr>
      <w:r>
        <w:rPr>
          <w:rFonts w:cs="Times New Roman"/>
          <w:shd w:val="clear" w:color="auto" w:fill="auto"/>
        </w:rPr>
        <w:t xml:space="preserve">Обязанность по обеспечению раб</w:t>
      </w:r>
      <w:r>
        <w:rPr>
          <w:rFonts w:cs="Times New Roman"/>
          <w:shd w:val="clear" w:color="auto" w:fill="auto"/>
        </w:rPr>
        <w:t xml:space="preserve">отников, которые заняты на работах с вредными и (или) опасными условиями труда, а также на работах, выполняемых в особых температурных условиях или связанных с загрязнением, специальной одеждой, специальной обувью и другими СИЗ возлагается на работодателя.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В зависимости от назначения СИЗ классифицируют: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а) на костюмы изолирующие — по ГОСТ 12.4.064—84 (подраздел 1.1). ГОСТ ISO 16602—2019 (пункт 4.2). костюмы изолирующие многофункциональные — по ГОСТ 12.4.312—2017 (раздел 4);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б) СИЗ органов дыхания — по ГОСТ 12.4.034—2017 (раздел 3):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в) одежду специальную защитную, в том числе фильтрующую по ГОСТ 12.4.103—2020 (раздел 4);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г) СИЗ ног — по ГОСТ 12.4.103—2020 (раздел 4);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д) СИЗ рук — по ГОСТ 12.4.103—2020 (раздел 4);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е) СИЗ головы. 2 ГОСТ Р 59123—2020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- защитные каски (защитные шлемы).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- защитные каскетки. - подшлемники.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- шапки, береты, косынки, бейсболки и прочие головные уборы,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- накомарники, сетки наголовные;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ж) СИЗ лица — по ГОСТ 12.4.023—84 (раздел 1): ГОСТ 12.4.253—2013 (раздел 4 в части лицевого экрана);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и) СИЗ глаз — по ГОСТ 12.4.253—2013 (раздел 4, за исключением защитных лицевых щитков и лицевого экрана);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к) СИЗ органа слуха: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- наушники.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- наушники с креплением на защитную каску.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- противошумные вкладыши;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л) СИЗ от падения с высоты: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- удерживающие системы.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- системы позиционирования на рабочем месте.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- системы канатного доступа.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- страховочные системы.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- спасательные системы.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Примечание — Классификационные требования к конкретным компонентам систем индивидуальной защиты от падения с высоты установлены в отдельных стандартах на продукцию;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м) дерматологические СИЗ — по ГОСТ Р 12.4.301—2018 (раздел 1);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  <w14:ligatures w14:val="none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н) комплексные СИЗ — единая классификация отсутствует: </w:t>
      </w:r>
      <w:r>
        <w:rPr>
          <w:highlight w:val="none"/>
          <w:shd w:val="clear" w:color="auto" w:fill="auto"/>
          <w14:ligatures w14:val="none"/>
        </w:rPr>
      </w:r>
      <w:r>
        <w:rPr>
          <w:highlight w:val="none"/>
          <w:shd w:val="clear" w:color="auto" w:fill="auto"/>
          <w14:ligatures w14:val="none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п) СИЗ опорно-двигательного аппарата — до введения в действие соответствующего национального или межгосударственного стандарта единая классификация отсутствует.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</w:rPr>
      </w:pPr>
      <w:r>
        <w:rPr>
          <w:rFonts w:eastAsia="Times New Roman" w:cs="Times New Roman"/>
          <w:b w:val="0"/>
          <w:bCs w:val="0"/>
          <w:i w:val="0"/>
          <w:iCs w:val="0"/>
          <w:caps w:val="0"/>
          <w:smallCaps w:val="0"/>
          <w:strike w:val="0"/>
          <w:vanish w:val="0"/>
          <w:color w:val="000000"/>
          <w:spacing w:val="0"/>
          <w:position w:val="0"/>
          <w:sz w:val="24"/>
          <w:szCs w:val="26"/>
          <w:u w:val="none"/>
          <w:shd w:val="clear" w:color="auto" w:fill="auto"/>
          <w:vertAlign w:val="baseline"/>
          <w:lang w:val="ru-RU" w:eastAsia="ru-RU" w:bidi="ar-SA"/>
          <w14:ligatures w14:val="none"/>
        </w:rPr>
        <w:t xml:space="preserve">р) индивидуальные экранирующие комплекты, в т. ч. индивидуальные шунтирующие экранирующие комплекты — до введения в действие соответствующего национального или межгосударственного стандарта единая классификация отсутствует. ].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</w:rPr>
      </w:pPr>
      <w:r>
        <w:rPr>
          <w:rFonts w:eastAsia="Times New Roman" w:cs="Times New Roman"/>
          <w:color w:val="000000"/>
          <w:sz w:val="24"/>
          <w:shd w:val="clear" w:color="auto" w:fill="auto"/>
        </w:rPr>
        <w:t xml:space="preserve">Средства индивидуальной защиты и смывающие средства выдаются работникам согласно Норм бесплатной выдачи средств индивидуальной защиты и смывающих средств разработанных на</w:t>
      </w:r>
      <w:r>
        <w:rPr>
          <w:rFonts w:eastAsia="Times New Roman" w:cs="Times New Roman"/>
          <w:color w:val="000000"/>
          <w:sz w:val="24"/>
          <w:shd w:val="clear" w:color="auto" w:fill="auto"/>
        </w:rPr>
        <w:t xml:space="preserve"> основании единых Типовых норм выдачи средств индивидуальной защиты и смывающих средств с учетом результатов специальной оценки условий труда, результатов оценки профессиональных рисков, и с учетом мнения выборного органа первичной профсоюзной организации.</w:t>
      </w:r>
      <w:r>
        <w:rPr>
          <w:shd w:val="clear" w:color="auto" w:fill="auto"/>
        </w:rPr>
        <w:t xml:space="preserve">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</w:rPr>
      </w:pPr>
      <w:r>
        <w:rPr>
          <w:rFonts w:cs="Times New Roman"/>
          <w:shd w:val="clear" w:color="auto" w:fill="auto"/>
        </w:rPr>
        <w:t xml:space="preserve">СИЗ, выдаваемые работникам Общества, должны соответствовать их полу, размеру, росту, характеру и условиям выполняемой работы и обеспечивать безопасность труда.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</w:rPr>
      </w:pPr>
      <w:r>
        <w:rPr>
          <w:rFonts w:cs="Times New Roman"/>
          <w:shd w:val="clear" w:color="auto" w:fill="auto"/>
        </w:rPr>
        <w:t xml:space="preserve">Спецодежда, спец. обувь и другие СИЗ, выдаваемые работникам, являются собственностью Общества и подлежат возврату по истечению установленных сроков носки, при увольнении, при переводе на другую работу, для которой они не предусмотрены нормами. 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</w:rPr>
      </w:pPr>
      <w:r>
        <w:rPr>
          <w:rFonts w:cs="Times New Roman"/>
          <w:shd w:val="clear" w:color="auto" w:fill="auto"/>
        </w:rPr>
        <w:t xml:space="preserve">Работодатель обязан информировать работников о полагающихся им СИЗ.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</w:rPr>
      </w:pPr>
      <w:r>
        <w:rPr>
          <w:rFonts w:cs="Times New Roman"/>
          <w:shd w:val="clear" w:color="auto" w:fill="auto"/>
        </w:rPr>
        <w:t xml:space="preserve">Если в установленных законом случаях и порядке работник не обеспечен СИЗ, он вправе отказаться от выполнения трудовых обязанностей, а работодатель не имеет права требовать их исполнения, и обязан оплатить возникший по этой причине простой.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</w:rPr>
      </w:pPr>
      <w:r>
        <w:rPr>
          <w:rFonts w:cs="Times New Roman"/>
          <w:shd w:val="clear" w:color="auto" w:fill="auto"/>
        </w:rPr>
        <w:t xml:space="preserve">Работодатель обязан организовать надлежащий учёт и контроль за выдачей работникам СИЗ в установленные сроки.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</w:rPr>
      </w:pPr>
      <w:r>
        <w:rPr>
          <w:rFonts w:cs="Times New Roman"/>
          <w:shd w:val="clear" w:color="auto" w:fill="auto"/>
        </w:rPr>
        <w:t xml:space="preserve">Сроки пользования СИЗ исчисляются со дня их фактической выдачи работникам.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7"/>
        <w:ind w:left="0" w:right="0" w:firstLine="709"/>
        <w:rPr>
          <w:highlight w:val="none"/>
          <w:shd w:val="clear" w:color="auto" w:fill="auto"/>
        </w:rPr>
      </w:pPr>
      <w:r>
        <w:rPr>
          <w:rFonts w:cs="Times New Roman"/>
          <w:shd w:val="clear" w:color="auto" w:fill="auto"/>
        </w:rPr>
        <w:t xml:space="preserve">На работодателя также возложена обязанность по обеспечению ухода за СИЗ, их хранению, по своевременной химчистке, стирке, дегаз</w:t>
      </w:r>
      <w:r>
        <w:rPr>
          <w:rFonts w:cs="Times New Roman"/>
          <w:shd w:val="clear" w:color="auto" w:fill="auto"/>
        </w:rPr>
        <w:t xml:space="preserve">ации, дезактивации, дезинфекции, обезвреживанию, обеспыливанию, сушке, а также по ремонту и замене. В целях надлежащего исполнения данной обязанности работодатель может выдавать работнику по два комплекта соответствующих СИЗ с удвоенным сроком пользования.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b/>
        </w:rPr>
      </w:pPr>
      <w:r/>
      <w:bookmarkStart w:id="193" w:name="_Toc527898087"/>
      <w:r/>
      <w:bookmarkStart w:id="194" w:name="_Toc13992447"/>
      <w:r>
        <w:rPr>
          <w:b/>
        </w:rPr>
        <w:t xml:space="preserve">9.4 Способы предотвращения накопления зарядов статического электричества</w:t>
      </w:r>
      <w:bookmarkEnd w:id="193"/>
      <w:r/>
      <w:bookmarkEnd w:id="194"/>
      <w:r>
        <w:rPr>
          <w:b/>
        </w:rPr>
      </w:r>
      <w:r>
        <w:rPr>
          <w:b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При выборе средств</w:t>
      </w:r>
      <w:r>
        <w:rPr>
          <w:rFonts w:cs="Times New Roman"/>
        </w:rPr>
        <w:t xml:space="preserve"> защиты от статического электричества должны учитываться особенности технологических процессов, физико-химические свойства обрабатываемого материала, микроклимат помещений и др., что определяет дифференцированный подход при разработке защитных мероприятий.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Основными мерами защиты от статического электричества являются: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3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заземление металлических частей оборудования, которые могут быть электризованы, нанесение на поверхность сплошных или не сплошных проводящих покрытий (пленок);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предотвращение накопления зарядов на металлическом оборудовании и в жидких диэлектриках (применение системы уравнивания потенциалов);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предотвращение образования продукта при плескании, распылении и разбрызгивании;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снижение скорости трения ограничивают за счет снижения скоростей обработки и транспортировки материалов;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уменьшение силы трения достигается смазкой, снижением шероховатости и площади контакта взаимодействующих поверхностей.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нейтрализация зарядов на поверхности твёрдых и жидких диэлектриков в процессах их возникновения или накопления.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Предотвращение накопления зарядов на оборудовании достигается заземлением всех металлических частей</w:t>
      </w:r>
      <w:r>
        <w:rPr>
          <w:rFonts w:cs="Times New Roman"/>
        </w:rPr>
        <w:t xml:space="preserve">, на которых могут появиться заряды (трубопроводы, эстакады и др.). Сопротивление заземления определяют в зависимости от скорости накопления электрических зарядов и переходного сопротивления в системе согласно правилам защиты от статического электричества.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Для отвода статического электричества, накапливающегося на человеке, предусматривают: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устройство электропроводящих площадок обслуживания скважин;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запрещение ношения од</w:t>
      </w:r>
      <w:r>
        <w:rPr>
          <w:rFonts w:cs="Times New Roman"/>
        </w:rPr>
        <w:t xml:space="preserve">ежды из синтетических материалов и шелка, способствующих электризации, а также колец и металлических браслетов, на которых могут накапливаться заряды статического электричества как непосредственно от наэлектризованных материалов, так и вследствие индукции.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Металлические наконечники шлангов, предназначенных для налива метанола в автоцистерны, должны быть заземлены м</w:t>
      </w:r>
      <w:r>
        <w:rPr>
          <w:rFonts w:cs="Times New Roman"/>
        </w:rPr>
        <w:t xml:space="preserve">ногожильным медным проводом, обвитым по шлангу или пропущенным внутри и прикреплённым одним концом у металлическим частям продуктопроводов, а другим – к наконечнику шланга. Наконечники шлангов должны быть изготовлены из металла, не дающего искр при ударах.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Защита от заноса высокого потенциала по внешним надземным металлическим коммуникациям осуществляется путём присоединения их к металлоконструкциям свайного основания.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8"/>
        <w:ind w:firstLine="709"/>
        <w:spacing w:before="0" w:after="0" w:line="360" w:lineRule="auto"/>
        <w:rPr>
          <w:b/>
        </w:rPr>
      </w:pPr>
      <w:r/>
      <w:bookmarkStart w:id="195" w:name="_Toc13992448"/>
      <w:r/>
      <w:bookmarkStart w:id="196" w:name="_Toc527898088"/>
      <w:r>
        <w:rPr>
          <w:b/>
        </w:rPr>
        <w:t xml:space="preserve">9.5 Безопасный метод удаления продуктов производства из технологических систем и отдельных видов оборудования</w:t>
      </w:r>
      <w:bookmarkEnd w:id="195"/>
      <w:r/>
      <w:bookmarkEnd w:id="196"/>
      <w:r>
        <w:rPr>
          <w:b/>
        </w:rPr>
      </w:r>
      <w:r>
        <w:rPr>
          <w:b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При необходимости опорожнения технологического ко</w:t>
      </w:r>
      <w:r>
        <w:rPr>
          <w:rFonts w:cs="Times New Roman"/>
        </w:rPr>
        <w:t xml:space="preserve">ммуникаций от природного газа, метанола для проведения пуско-наладочных работ, планово-предупредительных и внеплановых ремонтов должен соблюдаться алгоритм переключений запорной и запорно-регулирующей арматуры, соответствующий нормальной остановке скважин.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При удалении метанола из технологических систем необходимо исключить непосредственный контакт работников с ним, налив метанола должен проводиться по закрытой схеме, запрещается проводить слив – налив метанола во время грозы.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8"/>
        <w:ind w:firstLine="709"/>
        <w:spacing w:before="0" w:after="0" w:line="360" w:lineRule="auto"/>
        <w:rPr>
          <w:b/>
        </w:rPr>
      </w:pPr>
      <w:r/>
      <w:bookmarkStart w:id="197" w:name="_Toc527898089"/>
      <w:r/>
      <w:bookmarkStart w:id="198" w:name="_Toc13992449"/>
      <w:r>
        <w:rPr>
          <w:b/>
        </w:rPr>
        <w:t xml:space="preserve">9.6 Основные опасности применяемого оборудования</w:t>
      </w:r>
      <w:bookmarkEnd w:id="197"/>
      <w:r/>
      <w:bookmarkEnd w:id="198"/>
      <w:r>
        <w:rPr>
          <w:b/>
        </w:rPr>
      </w:r>
      <w:r>
        <w:rPr>
          <w:b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Опасность для обслуживающего персонала обусловлена следующими факторами: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«движущийся газоопасный объект» - струя газа, ударная волна;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необходимостью эксплуатации и обслуживания оборудования (скважин, трубопроводов), находящегося в ходе производственного процесса под давлением и содержащим взрывопожароопасные вещества;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наличием большого числа фланцевых соединений, сварных стыков - наиболее вероятных мест утечек взрывопожароопасных продуктов;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опасным уровнем напряжения в электрической сети;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повышенным уровнем статического электричества, которое накапливается на оборудовании при неисправном заземлении;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применением в процессах токсичных, легковоспламеняющихся и горючих жидкостей, взрывоопасных и пожароопасных продуктов;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необходимостью проведения огневых и газоопасных работ вблизи действующего технологического оборудования;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наличием шума;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транспорт и спецтехника;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numPr>
          <w:ilvl w:val="0"/>
          <w:numId w:val="10"/>
        </w:numPr>
        <w:ind w:left="0" w:firstLine="709"/>
        <w:rPr>
          <w:rFonts w:cs="Times New Roman"/>
        </w:rPr>
      </w:pPr>
      <w:r>
        <w:rPr>
          <w:rFonts w:cs="Times New Roman"/>
        </w:rPr>
        <w:t xml:space="preserve">пониженная температура окружающего воздуха.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Выполнение работ в местах, где имеется или может возникнуть повышенная производственная опасность, должно осуществляться согласно действующих инструкций.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Выполнение работ повышенной опасности должно осуществляться в соответствии с инструкциями, устанавливающими требования к организации и безопасному ведению таких работ, утверждёнными техническим руководителем предприятия (фи</w:t>
      </w:r>
      <w:bookmarkStart w:id="199" w:name="_Toc527898090"/>
      <w:r/>
      <w:bookmarkEnd w:id="199"/>
      <w:r>
        <w:rPr>
          <w:rFonts w:cs="Times New Roman"/>
        </w:rPr>
        <w:t xml:space="preserve">лиала).</w:t>
      </w:r>
      <w:bookmarkStart w:id="200" w:name="_Toc527898091"/>
      <w:r>
        <w:rPr>
          <w:rFonts w:cs="Times New Roman"/>
        </w:rPr>
      </w:r>
      <w:r>
        <w:rPr>
          <w:rFonts w:cs="Times New Roman"/>
        </w:rPr>
      </w:r>
    </w:p>
    <w:p>
      <w:pPr>
        <w:sectPr>
          <w:headerReference w:type="default" r:id="rId32"/>
          <w:headerReference w:type="first" r:id="rId33"/>
          <w:footerReference w:type="default" r:id="rId63"/>
          <w:footerReference w:type="first" r:id="rId64"/>
          <w:footnotePr/>
          <w:endnotePr/>
          <w:type w:val="nextPage"/>
          <w:pgSz w:w="11906" w:h="16838" w:orient="portrait"/>
          <w:pgMar w:top="1134" w:right="851" w:bottom="1134" w:left="1701" w:header="567" w:footer="567" w:gutter="0"/>
          <w:cols w:num="1" w:sep="0" w:space="708" w:equalWidth="1"/>
          <w:docGrid w:linePitch="360"/>
          <w:titlePg/>
        </w:sectPr>
      </w:pPr>
      <w:r>
        <w:br w:type="page" w:clear="all"/>
      </w:r>
      <w:r/>
    </w:p>
    <w:p>
      <w:pPr>
        <w:pStyle w:val="2168"/>
        <w:ind w:firstLine="709"/>
        <w:spacing w:before="0" w:after="0" w:line="360" w:lineRule="auto"/>
        <w:rPr>
          <w:b/>
        </w:rPr>
      </w:pPr>
      <w:r/>
      <w:bookmarkEnd w:id="200"/>
      <w:r>
        <w:rPr>
          <w:b/>
        </w:rPr>
        <w:t xml:space="preserve">10 ТЕХНОЛОГИЧЕСКИЕ И ВЕНТИЛЯЦИОННЫЕ ВЫБРОСЫ В АТМОСФЕРУ</w:t>
      </w:r>
      <w:r>
        <w:rPr>
          <w:b/>
        </w:rPr>
      </w:r>
      <w:r>
        <w:rPr>
          <w:b/>
        </w:rPr>
      </w:r>
    </w:p>
    <w:p>
      <w:pPr>
        <w:pStyle w:val="2167"/>
        <w:ind w:firstLine="709"/>
        <w:rPr>
          <w:rFonts w:cs="Times New Roman"/>
        </w:rPr>
      </w:pPr>
      <w:r/>
      <w:bookmarkStart w:id="201" w:name="_Toc48528016"/>
      <w:r/>
      <w:bookmarkStart w:id="202" w:name="_Toc184786824"/>
      <w:r/>
      <w:bookmarkStart w:id="203" w:name="_Toc48539218"/>
      <w:r/>
      <w:bookmarkStart w:id="204" w:name="_Toc157932345"/>
      <w:r/>
      <w:bookmarkStart w:id="205" w:name="_Toc184786998"/>
      <w:r/>
      <w:bookmarkStart w:id="206" w:name="_Toc184800475"/>
      <w:r/>
      <w:bookmarkStart w:id="207" w:name="_Toc184727335"/>
      <w:r/>
      <w:bookmarkStart w:id="208" w:name="_Toc57428808_Копия_1"/>
      <w:r/>
      <w:bookmarkEnd w:id="201"/>
      <w:r/>
      <w:bookmarkEnd w:id="202"/>
      <w:r/>
      <w:bookmarkEnd w:id="203"/>
      <w:r/>
      <w:bookmarkEnd w:id="204"/>
      <w:r/>
      <w:bookmarkEnd w:id="205"/>
      <w:r/>
      <w:bookmarkEnd w:id="206"/>
      <w:r/>
      <w:bookmarkEnd w:id="207"/>
      <w:r/>
      <w:bookmarkEnd w:id="208"/>
      <w:r>
        <w:rPr>
          <w:rFonts w:cs="Times New Roman"/>
        </w:rPr>
        <w:t xml:space="preserve">В таблице 10.1 указаны выбросы </w:t>
      </w:r>
      <w:r>
        <w:rPr>
          <w:rFonts w:cs="Times New Roman"/>
        </w:rPr>
        <w:t xml:space="preserve">технологические в соответствии с действующим Проектом нормативов предельно допустимых выбросов загрязняющих веществ в атмосферу (исследование скважин УГРиЛМ), разработанным, в том числе, для объектов фонда скважин ГП- ф. Филиал 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709"/>
        <w:rPr>
          <w:rFonts w:cs="Times New Roman"/>
        </w:rPr>
      </w:pPr>
      <w:r>
        <w:rPr>
          <w:rFonts w:cs="Times New Roman"/>
        </w:rPr>
        <w:t xml:space="preserve">В таблице 10.2 указаны выбросы технологич</w:t>
      </w:r>
      <w:r>
        <w:rPr>
          <w:rFonts w:cs="Times New Roman"/>
        </w:rPr>
        <w:t xml:space="preserve">еские в соответствии с действующим Проектом нормативов предельно допустимых выбросов загрязняющих веществ в атмосферу, разработанным для объектов ГП- ф. Филиал . Вентиляционные выбросы на объектах фонда скважин ГП- отсутствуют.</w:t>
      </w:r>
      <w:r>
        <w:rPr>
          <w:rFonts w:cs="Times New Roman"/>
        </w:rPr>
      </w:r>
      <w:r>
        <w:rPr>
          <w:rFonts w:cs="Times New Roman"/>
        </w:rPr>
      </w:r>
    </w:p>
    <w:p>
      <w:pPr>
        <w:pStyle w:val="2167"/>
        <w:ind w:firstLine="0"/>
        <w:spacing w:line="240" w:lineRule="auto"/>
        <w:rPr>
          <w:rFonts w:cs="Times New Roman"/>
          <w:iCs/>
          <w:szCs w:val="18"/>
        </w:rPr>
      </w:pPr>
      <w:r>
        <w:rPr>
          <w:rFonts w:cs="Times New Roman"/>
          <w:iCs/>
          <w:szCs w:val="18"/>
        </w:rPr>
        <w:t xml:space="preserve">Таблица 10.1 - Выбросы в атмосферу</w:t>
      </w:r>
      <w:r>
        <w:rPr>
          <w:rFonts w:cs="Times New Roman"/>
          <w:iCs/>
          <w:szCs w:val="18"/>
        </w:rPr>
      </w:r>
      <w:r>
        <w:rPr>
          <w:rFonts w:cs="Times New Roman"/>
          <w:iCs/>
          <w:szCs w:val="18"/>
        </w:rPr>
      </w:r>
    </w:p>
    <w:tbl>
      <w:tblPr>
        <w:tblW w:w="15024" w:type="dxa"/>
        <w:tblInd w:w="-295" w:type="dxa"/>
        <w:tblLayout w:type="fixed"/>
        <w:tblCellMar>
          <w:left w:w="15" w:type="dxa"/>
          <w:top w:w="0" w:type="dxa"/>
          <w:right w:w="15" w:type="dxa"/>
          <w:bottom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blPrEx/>
        <w:trPr>
          <w:trHeight w:val="20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79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3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№ 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п/п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4648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3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</w:rPr>
              <w:t xml:space="preserve">Наименование выброса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3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</w:rPr>
              <w:t xml:space="preserve">Количество</w:t>
            </w:r>
            <w:r>
              <w:rPr>
                <w:rFonts w:eastAsia="Calibri"/>
                <w:sz w:val="22"/>
                <w:szCs w:val="22"/>
              </w:rPr>
              <w:br w:type="textWrapping" w:clear="all"/>
            </w:r>
            <w:r>
              <w:rPr>
                <w:rFonts w:eastAsia="Calibri"/>
                <w:sz w:val="22"/>
                <w:szCs w:val="22"/>
              </w:rPr>
              <w:t xml:space="preserve">образования</w:t>
              <w:br/>
              <w:t xml:space="preserve">выбросов, т/год по</w:t>
              <w:br/>
              <w:t xml:space="preserve">видам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6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3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</w:rPr>
              <w:t xml:space="preserve">Условие (метод)</w:t>
              <w:br/>
              <w:t xml:space="preserve">ликвидации, обезвреживания</w:t>
              <w:br/>
              <w:t xml:space="preserve">утилизации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2296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6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</w:rPr>
              <w:t xml:space="preserve">Периодичность выбросов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27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center"/>
              <w:spacing w:line="315" w:lineRule="atLeas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Установленная норма содержания загрязнений в выбросах, мг/м</w:t>
            </w:r>
            <w:r>
              <w:rPr>
                <w:rFonts w:eastAsia="Calibri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eastAsia="Calibri"/>
                <w:sz w:val="22"/>
                <w:szCs w:val="22"/>
              </w:rPr>
            </w:r>
            <w:r>
              <w:rPr>
                <w:rFonts w:eastAsia="Calibri"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center"/>
              <w:spacing w:line="315" w:lineRule="atLeas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Примечание</w:t>
            </w:r>
            <w:r>
              <w:rPr>
                <w:rFonts w:eastAsia="Calibri"/>
                <w:sz w:val="22"/>
                <w:szCs w:val="22"/>
              </w:rPr>
            </w:r>
            <w:r>
              <w:rPr>
                <w:rFonts w:eastAsia="Calibri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</w:r>
            <w:r>
              <w:rPr>
                <w:rFonts w:eastAsia="Calibri"/>
                <w:sz w:val="22"/>
                <w:szCs w:val="22"/>
              </w:rPr>
            </w:r>
            <w:r>
              <w:rPr>
                <w:rFonts w:eastAsia="Calibri"/>
                <w:sz w:val="22"/>
                <w:szCs w:val="22"/>
              </w:rPr>
            </w:r>
          </w:p>
        </w:tc>
      </w:tr>
      <w:tr>
        <w:tblPrEx/>
        <w:trPr>
          <w:trHeight w:val="20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47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4648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8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86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2296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right w:val="single" w:color="000000" w:sz="8" w:space="0"/>
            </w:tcBorders>
            <w:tcMar>
              <w:left w:w="10" w:type="dxa"/>
              <w:right w:w="10" w:type="dxa"/>
            </w:tcMar>
            <w:tcW w:w="192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</w:r>
            <w:r>
              <w:rPr>
                <w:rFonts w:eastAsia="Calibri"/>
                <w:sz w:val="22"/>
                <w:szCs w:val="22"/>
              </w:rPr>
            </w:r>
            <w:r>
              <w:rPr>
                <w:rFonts w:eastAsia="Calibri"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right w:val="single" w:color="000000" w:sz="8" w:space="0"/>
            </w:tcBorders>
            <w:tcMar>
              <w:left w:w="108" w:type="dxa"/>
              <w:right w:w="108" w:type="dxa"/>
            </w:tcMar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spacing w:line="252" w:lineRule="auto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</w:tr>
      <w:tr>
        <w:tblPrEx/>
        <w:trPr>
          <w:trHeight w:val="20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47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4648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8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86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2296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bottom w:val="single" w:color="000000" w:sz="8" w:space="0"/>
              <w:right w:val="single" w:color="000000" w:sz="8" w:space="0"/>
            </w:tcBorders>
            <w:tcW w:w="192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3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</w:tr>
      <w:tr>
        <w:tblPrEx/>
        <w:trPr>
          <w:trHeight w:val="328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47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1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464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2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3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8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4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229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5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27" w:type="dxa"/>
            <w:vAlign w:val="center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3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6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7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</w:tr>
      <w:tr>
        <w:tblPrEx/>
        <w:trPr>
          <w:trHeight w:val="170"/>
        </w:trPr>
        <w:tc>
          <w:tcPr>
            <w:shd w:val="clear" w:color="auto" w:fill="ffffff" w:themeFill="background1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79" w:type="dxa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6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1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4648" w:type="dxa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Азота диоксид (Азот (IV) оксид)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5" w:type="dxa"/>
            <w:textDirection w:val="lrTb"/>
            <w:noWrap w:val="false"/>
          </w:tcPr>
          <w:p>
            <w:pPr>
              <w:pStyle w:val="1889"/>
              <w:jc w:val="right"/>
              <w:rPr>
                <w:rFonts w:ascii="Times New Roman CYR" w:hAnsi="Times New Roman CYR" w:cs="Times New Roman CYR"/>
                <w:sz w:val="22"/>
                <w:szCs w:val="22"/>
              </w:rPr>
            </w:pPr>
            <w:r>
              <w:rPr>
                <w:rFonts w:ascii="Times New Roman CYR" w:hAnsi="Times New Roman CYR" w:cs="Times New Roman CYR"/>
                <w:sz w:val="22"/>
                <w:szCs w:val="22"/>
              </w:rPr>
              <w:t xml:space="preserve">39,866099</w:t>
            </w:r>
            <w:r>
              <w:rPr>
                <w:rFonts w:ascii="Times New Roman CYR" w:hAnsi="Times New Roman CYR" w:cs="Times New Roman CYR"/>
                <w:sz w:val="22"/>
                <w:szCs w:val="22"/>
              </w:rPr>
            </w:r>
            <w:r>
              <w:rPr>
                <w:rFonts w:ascii="Times New Roman CYR" w:hAnsi="Times New Roman CYR" w:cs="Times New Roman CYR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6" w:type="dxa"/>
            <w:textDirection w:val="lrTb"/>
            <w:noWrap w:val="false"/>
          </w:tcPr>
          <w:p>
            <w:pPr>
              <w:pStyle w:val="188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Отсутствует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2296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  <w:r>
              <w:t xml:space="preserve">Периодически</w:t>
            </w:r>
            <w:r>
              <w:rPr>
                <w:rFonts w:eastAsia="Calibri"/>
                <w:color w:val="000000"/>
                <w:sz w:val="22"/>
                <w:szCs w:val="22"/>
                <w:lang w:eastAsia="en-US"/>
              </w:rPr>
            </w:r>
            <w:r>
              <w:rPr>
                <w:rFonts w:eastAsia="Calibri"/>
                <w:color w:val="000000"/>
                <w:sz w:val="22"/>
                <w:szCs w:val="22"/>
                <w:lang w:eastAsia="en-US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27" w:type="dxa"/>
            <w:textDirection w:val="lrTb"/>
            <w:noWrap w:val="false"/>
          </w:tcPr>
          <w:p>
            <w:pPr>
              <w:pStyle w:val="1889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0,20000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701" w:type="dxa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</w:tr>
      <w:tr>
        <w:tblPrEx/>
        <w:trPr>
          <w:trHeight w:val="170"/>
        </w:trPr>
        <w:tc>
          <w:tcPr>
            <w:shd w:val="clear" w:color="auto" w:fill="ffffff" w:themeFill="background1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79" w:type="dxa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6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2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000000" w:fill="ffffff"/>
            <w:tcBorders>
              <w:bottom w:val="single" w:color="000000" w:sz="4" w:space="0"/>
              <w:right w:val="single" w:color="000000" w:sz="4" w:space="0"/>
            </w:tcBorders>
            <w:tcW w:w="4648" w:type="dxa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Азот (II) оксид (Азота оксид)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5" w:type="dxa"/>
            <w:textDirection w:val="lrTb"/>
            <w:noWrap w:val="false"/>
          </w:tcPr>
          <w:p>
            <w:pPr>
              <w:pStyle w:val="1889"/>
              <w:jc w:val="right"/>
              <w:rPr>
                <w:rFonts w:ascii="Times New Roman CYR" w:hAnsi="Times New Roman CYR" w:cs="Times New Roman CYR"/>
                <w:sz w:val="22"/>
                <w:szCs w:val="22"/>
              </w:rPr>
            </w:pPr>
            <w:r>
              <w:rPr>
                <w:rFonts w:ascii="Times New Roman CYR" w:hAnsi="Times New Roman CYR" w:cs="Times New Roman CYR"/>
                <w:sz w:val="22"/>
                <w:szCs w:val="22"/>
              </w:rPr>
              <w:t xml:space="preserve">38,958610</w:t>
            </w:r>
            <w:r>
              <w:rPr>
                <w:rFonts w:ascii="Times New Roman CYR" w:hAnsi="Times New Roman CYR" w:cs="Times New Roman CYR"/>
                <w:sz w:val="22"/>
                <w:szCs w:val="22"/>
              </w:rPr>
            </w:r>
            <w:r>
              <w:rPr>
                <w:rFonts w:ascii="Times New Roman CYR" w:hAnsi="Times New Roman CYR" w:cs="Times New Roman CYR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6" w:type="dxa"/>
            <w:textDirection w:val="lrTb"/>
            <w:noWrap w:val="false"/>
          </w:tcPr>
          <w:p>
            <w:pPr>
              <w:pStyle w:val="188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Отсутствует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2296" w:type="dxa"/>
            <w:textDirection w:val="lrTb"/>
            <w:noWrap w:val="false"/>
          </w:tcPr>
          <w:p>
            <w:pPr>
              <w:pStyle w:val="1889"/>
            </w:pPr>
            <w:r>
              <w:t xml:space="preserve">Периодически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27" w:type="dxa"/>
            <w:textDirection w:val="lrTb"/>
            <w:noWrap w:val="false"/>
          </w:tcPr>
          <w:p>
            <w:pPr>
              <w:pStyle w:val="1889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0,40000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701" w:type="dxa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</w:tr>
      <w:tr>
        <w:tblPrEx/>
        <w:trPr>
          <w:trHeight w:val="170"/>
        </w:trPr>
        <w:tc>
          <w:tcPr>
            <w:shd w:val="clear" w:color="auto" w:fill="ffffff" w:themeFill="background1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79" w:type="dxa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6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3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000000" w:fill="ffffff"/>
            <w:tcBorders>
              <w:bottom w:val="single" w:color="000000" w:sz="4" w:space="0"/>
              <w:right w:val="single" w:color="000000" w:sz="4" w:space="0"/>
            </w:tcBorders>
            <w:tcW w:w="4648" w:type="dxa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Углерод оксид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5" w:type="dxa"/>
            <w:textDirection w:val="lrTb"/>
            <w:noWrap w:val="false"/>
          </w:tcPr>
          <w:p>
            <w:pPr>
              <w:pStyle w:val="1889"/>
              <w:jc w:val="right"/>
              <w:rPr>
                <w:rFonts w:ascii="Times New Roman CYR" w:hAnsi="Times New Roman CYR" w:cs="Times New Roman CYR"/>
                <w:sz w:val="22"/>
                <w:szCs w:val="22"/>
              </w:rPr>
            </w:pPr>
            <w:r>
              <w:rPr>
                <w:rFonts w:ascii="Times New Roman CYR" w:hAnsi="Times New Roman CYR" w:cs="Times New Roman CYR"/>
                <w:sz w:val="22"/>
                <w:szCs w:val="22"/>
              </w:rPr>
              <w:t xml:space="preserve">664,435003</w:t>
            </w:r>
            <w:r>
              <w:rPr>
                <w:rFonts w:ascii="Times New Roman CYR" w:hAnsi="Times New Roman CYR" w:cs="Times New Roman CYR"/>
                <w:sz w:val="22"/>
                <w:szCs w:val="22"/>
              </w:rPr>
            </w:r>
            <w:r>
              <w:rPr>
                <w:rFonts w:ascii="Times New Roman CYR" w:hAnsi="Times New Roman CYR" w:cs="Times New Roman CYR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6" w:type="dxa"/>
            <w:textDirection w:val="lrTb"/>
            <w:noWrap w:val="false"/>
          </w:tcPr>
          <w:p>
            <w:pPr>
              <w:pStyle w:val="188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Отсутствует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2296" w:type="dxa"/>
            <w:textDirection w:val="lrTb"/>
            <w:noWrap w:val="false"/>
          </w:tcPr>
          <w:p>
            <w:pPr>
              <w:pStyle w:val="1889"/>
            </w:pPr>
            <w:r>
              <w:t xml:space="preserve">Периодически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27" w:type="dxa"/>
            <w:textDirection w:val="lrTb"/>
            <w:noWrap w:val="false"/>
          </w:tcPr>
          <w:p>
            <w:pPr>
              <w:pStyle w:val="1889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5,00000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701" w:type="dxa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</w:tr>
      <w:tr>
        <w:tblPrEx/>
        <w:trPr>
          <w:trHeight w:val="170"/>
        </w:trPr>
        <w:tc>
          <w:tcPr>
            <w:shd w:val="clear" w:color="auto" w:fill="ffffff" w:themeFill="background1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79" w:type="dxa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6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4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000000" w:fill="ffffff"/>
            <w:tcBorders>
              <w:bottom w:val="single" w:color="000000" w:sz="4" w:space="0"/>
              <w:right w:val="single" w:color="000000" w:sz="4" w:space="0"/>
            </w:tcBorders>
            <w:tcW w:w="4648" w:type="dxa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Метан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5" w:type="dxa"/>
            <w:textDirection w:val="lrTb"/>
            <w:noWrap w:val="false"/>
          </w:tcPr>
          <w:p>
            <w:pPr>
              <w:pStyle w:val="1889"/>
              <w:jc w:val="right"/>
              <w:rPr>
                <w:rFonts w:ascii="Times New Roman CYR" w:hAnsi="Times New Roman CYR" w:cs="Times New Roman CYR"/>
                <w:sz w:val="22"/>
                <w:szCs w:val="22"/>
              </w:rPr>
            </w:pPr>
            <w:r>
              <w:rPr>
                <w:rFonts w:ascii="Times New Roman CYR" w:hAnsi="Times New Roman CYR" w:cs="Times New Roman CYR"/>
                <w:sz w:val="22"/>
                <w:szCs w:val="22"/>
              </w:rPr>
              <w:t xml:space="preserve">678,155875</w:t>
            </w:r>
            <w:r>
              <w:rPr>
                <w:rFonts w:ascii="Times New Roman CYR" w:hAnsi="Times New Roman CYR" w:cs="Times New Roman CYR"/>
                <w:sz w:val="22"/>
                <w:szCs w:val="22"/>
              </w:rPr>
            </w:r>
            <w:r>
              <w:rPr>
                <w:rFonts w:ascii="Times New Roman CYR" w:hAnsi="Times New Roman CYR" w:cs="Times New Roman CYR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6" w:type="dxa"/>
            <w:textDirection w:val="lrTb"/>
            <w:noWrap w:val="false"/>
          </w:tcPr>
          <w:p>
            <w:pPr>
              <w:pStyle w:val="1889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Отсутствует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2296" w:type="dxa"/>
            <w:textDirection w:val="lrTb"/>
            <w:noWrap w:val="false"/>
          </w:tcPr>
          <w:p>
            <w:pPr>
              <w:pStyle w:val="1889"/>
            </w:pPr>
            <w:r>
              <w:t xml:space="preserve">Периодически</w:t>
            </w:r>
            <w:r/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27" w:type="dxa"/>
            <w:textDirection w:val="lrTb"/>
            <w:noWrap w:val="false"/>
          </w:tcPr>
          <w:p>
            <w:pPr>
              <w:pStyle w:val="1889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50,00000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701" w:type="dxa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</w:tr>
    </w:tbl>
    <w:p>
      <w:pPr>
        <w:pStyle w:val="2167"/>
        <w:ind w:firstLine="709"/>
        <w:jc w:val="center"/>
        <w:rPr>
          <w:rFonts w:cs="Times New Roman"/>
          <w:iCs/>
          <w:szCs w:val="18"/>
        </w:rPr>
      </w:pPr>
      <w:r>
        <w:rPr>
          <w:rFonts w:cs="Times New Roman"/>
          <w:iCs/>
          <w:szCs w:val="18"/>
        </w:rPr>
      </w:r>
      <w:r>
        <w:rPr>
          <w:rFonts w:cs="Times New Roman"/>
          <w:iCs/>
          <w:szCs w:val="18"/>
        </w:rPr>
      </w:r>
      <w:r>
        <w:rPr>
          <w:rFonts w:cs="Times New Roman"/>
          <w:iCs/>
          <w:szCs w:val="18"/>
        </w:rPr>
      </w:r>
    </w:p>
    <w:p>
      <w:pPr>
        <w:pStyle w:val="2167"/>
        <w:ind w:firstLine="0"/>
        <w:spacing w:line="240" w:lineRule="auto"/>
        <w:rPr>
          <w:rFonts w:cs="Times New Roman"/>
          <w:iCs/>
          <w:szCs w:val="18"/>
        </w:rPr>
      </w:pPr>
      <w:r>
        <w:rPr>
          <w:rFonts w:cs="Times New Roman"/>
          <w:iCs/>
          <w:szCs w:val="18"/>
        </w:rPr>
        <w:t xml:space="preserve">Таблица 10.2 - Выбросы в атмосферу</w:t>
      </w:r>
      <w:r>
        <w:rPr>
          <w:rFonts w:cs="Times New Roman"/>
          <w:iCs/>
          <w:szCs w:val="18"/>
        </w:rPr>
      </w:r>
      <w:r>
        <w:rPr>
          <w:rFonts w:cs="Times New Roman"/>
          <w:iCs/>
          <w:szCs w:val="18"/>
        </w:rPr>
      </w:r>
    </w:p>
    <w:p>
      <w:pPr>
        <w:sectPr>
          <w:headerReference w:type="default" r:id="rId34"/>
          <w:headerReference w:type="first" r:id="rId35"/>
          <w:footerReference w:type="default" r:id="rId65"/>
          <w:footerReference w:type="first" r:id="rId66"/>
          <w:footnotePr/>
          <w:endnotePr/>
          <w:type w:val="nextPage"/>
          <w:pgSz w:w="16838" w:h="11906" w:orient="landscape"/>
          <w:pgMar w:top="1134" w:right="851" w:bottom="1134" w:left="1701" w:header="567" w:footer="567" w:gutter="0"/>
          <w:cols w:num="1" w:sep="0" w:space="708" w:equalWidth="1"/>
          <w:docGrid w:linePitch="360"/>
        </w:sectPr>
      </w:pPr>
      <w:r/>
      <w:r/>
    </w:p>
    <w:tbl>
      <w:tblPr>
        <w:tblW w:w="15024" w:type="dxa"/>
        <w:tblInd w:w="-295" w:type="dxa"/>
        <w:tblLayout w:type="fixed"/>
        <w:tblCellMar>
          <w:left w:w="15" w:type="dxa"/>
          <w:top w:w="0" w:type="dxa"/>
          <w:right w:w="15" w:type="dxa"/>
          <w:bottom w:w="0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blPrEx/>
        <w:trPr>
          <w:trHeight w:val="20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79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3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№ 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п/п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4648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3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</w:rPr>
              <w:t xml:space="preserve">Наименование выброса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3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</w:rPr>
              <w:t xml:space="preserve">Количество</w:t>
              <w:br/>
              <w:t xml:space="preserve">образования</w:t>
              <w:br/>
              <w:t xml:space="preserve">выбросов, т/год по</w:t>
              <w:br/>
              <w:t xml:space="preserve">видам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6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3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</w:rPr>
              <w:t xml:space="preserve">Условие (метод)</w:t>
              <w:br/>
              <w:t xml:space="preserve">ликвидации, обезвреживания</w:t>
              <w:br/>
              <w:t xml:space="preserve">утилизации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2296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6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</w:rPr>
              <w:t xml:space="preserve">Периодичность выбросов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27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center"/>
              <w:spacing w:line="315" w:lineRule="atLeas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Установленная норма содержания загрязнений в выбросах, мг/м</w:t>
            </w:r>
            <w:r>
              <w:rPr>
                <w:rFonts w:eastAsia="Calibri"/>
                <w:sz w:val="22"/>
                <w:szCs w:val="22"/>
                <w:vertAlign w:val="superscript"/>
              </w:rPr>
              <w:t xml:space="preserve">3</w:t>
            </w:r>
            <w:r>
              <w:rPr>
                <w:rFonts w:eastAsia="Calibri"/>
                <w:sz w:val="22"/>
                <w:szCs w:val="22"/>
              </w:rPr>
            </w:r>
            <w:r>
              <w:rPr>
                <w:rFonts w:eastAsia="Calibri"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center"/>
              <w:spacing w:line="315" w:lineRule="atLeast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  <w:t xml:space="preserve">Примечание</w:t>
            </w:r>
            <w:r>
              <w:rPr>
                <w:rFonts w:eastAsia="Calibri"/>
                <w:sz w:val="22"/>
                <w:szCs w:val="22"/>
              </w:rPr>
            </w:r>
            <w:r>
              <w:rPr>
                <w:rFonts w:eastAsia="Calibri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</w:r>
            <w:r>
              <w:rPr>
                <w:rFonts w:eastAsia="Calibri"/>
                <w:sz w:val="22"/>
                <w:szCs w:val="22"/>
              </w:rPr>
            </w:r>
            <w:r>
              <w:rPr>
                <w:rFonts w:eastAsia="Calibri"/>
                <w:sz w:val="22"/>
                <w:szCs w:val="22"/>
              </w:rPr>
            </w:r>
          </w:p>
        </w:tc>
      </w:tr>
      <w:tr>
        <w:tblPrEx/>
        <w:trPr>
          <w:trHeight w:val="20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47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4648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8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86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2296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right w:val="single" w:color="000000" w:sz="8" w:space="0"/>
            </w:tcBorders>
            <w:tcMar>
              <w:left w:w="10" w:type="dxa"/>
              <w:right w:w="10" w:type="dxa"/>
            </w:tcMar>
            <w:tcW w:w="192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</w:rPr>
            </w:pPr>
            <w:r>
              <w:rPr>
                <w:rFonts w:eastAsia="Calibri"/>
                <w:sz w:val="22"/>
                <w:szCs w:val="22"/>
              </w:rPr>
            </w:r>
            <w:r>
              <w:rPr>
                <w:rFonts w:eastAsia="Calibri"/>
                <w:sz w:val="22"/>
                <w:szCs w:val="22"/>
              </w:rPr>
            </w:r>
            <w:r>
              <w:rPr>
                <w:rFonts w:eastAsia="Calibri"/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right w:val="single" w:color="000000" w:sz="8" w:space="0"/>
            </w:tcBorders>
            <w:tcMar>
              <w:left w:w="108" w:type="dxa"/>
              <w:right w:w="108" w:type="dxa"/>
            </w:tcMar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spacing w:line="252" w:lineRule="auto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</w:tr>
      <w:tr>
        <w:tblPrEx/>
        <w:trPr>
          <w:trHeight w:val="20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479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4648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85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86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2296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bottom w:val="single" w:color="000000" w:sz="8" w:space="0"/>
              <w:right w:val="single" w:color="000000" w:sz="8" w:space="0"/>
            </w:tcBorders>
            <w:tcW w:w="1927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3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</w:tr>
      <w:tr>
        <w:tblPrEx/>
        <w:trPr>
          <w:trHeight w:val="20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47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1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4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464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2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85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3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8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4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229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5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927" w:type="dxa"/>
            <w:vAlign w:val="center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3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6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2f2f2" w:themeFill="background1" w:themeFillShade="F2"/>
            <w:tcBorders>
              <w:bottom w:val="single" w:color="000000" w:sz="8" w:space="0"/>
              <w:right w:val="single" w:color="000000" w:sz="8" w:space="0"/>
            </w:tcBorders>
            <w:tcMar>
              <w:left w:w="10" w:type="dxa"/>
              <w:right w:w="10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7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</w:tr>
      <w:tr>
        <w:tblPrEx/>
        <w:trPr>
          <w:trHeight w:val="170"/>
        </w:trPr>
        <w:tc>
          <w:tcPr>
            <w:shd w:val="clear" w:color="auto" w:fill="ffffff" w:themeFill="background1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79" w:type="dxa"/>
            <w:textDirection w:val="lrTb"/>
            <w:noWrap w:val="false"/>
          </w:tcPr>
          <w:p>
            <w:pPr>
              <w:pStyle w:val="1889"/>
              <w:jc w:val="center"/>
              <w:spacing w:before="6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1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000000" w:fill="ffffff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4648" w:type="dxa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Азота диоксид (Азот (IV) оксид)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5" w:type="dxa"/>
            <w:textDirection w:val="lrTb"/>
            <w:noWrap w:val="false"/>
          </w:tcPr>
          <w:p>
            <w:pPr>
              <w:pStyle w:val="1889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12,13523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6" w:type="dxa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Отсутствует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2296" w:type="dxa"/>
            <w:vAlign w:val="center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Периодически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27" w:type="dxa"/>
            <w:textDirection w:val="lrTb"/>
            <w:noWrap w:val="false"/>
          </w:tcPr>
          <w:p>
            <w:pPr>
              <w:pStyle w:val="1889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0,20000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701" w:type="dxa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</w:tr>
      <w:tr>
        <w:tblPrEx/>
        <w:trPr>
          <w:trHeight w:val="170"/>
        </w:trPr>
        <w:tc>
          <w:tcPr>
            <w:shd w:val="clear" w:color="auto" w:fill="ffffff" w:themeFill="background1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79" w:type="dxa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6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2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000000" w:fill="ffffff"/>
            <w:tcBorders>
              <w:bottom w:val="single" w:color="000000" w:sz="4" w:space="0"/>
              <w:right w:val="single" w:color="000000" w:sz="4" w:space="0"/>
            </w:tcBorders>
            <w:tcW w:w="4648" w:type="dxa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Азот (II) оксид (Азота оксид)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5" w:type="dxa"/>
            <w:textDirection w:val="lrTb"/>
            <w:noWrap w:val="false"/>
          </w:tcPr>
          <w:p>
            <w:pPr>
              <w:pStyle w:val="1889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11,83184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6" w:type="dxa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Отсутствует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2296" w:type="dxa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Периодически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27" w:type="dxa"/>
            <w:textDirection w:val="lrTb"/>
            <w:noWrap w:val="false"/>
          </w:tcPr>
          <w:p>
            <w:pPr>
              <w:pStyle w:val="1889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0,40000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701" w:type="dxa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</w:tr>
      <w:tr>
        <w:tblPrEx/>
        <w:trPr>
          <w:trHeight w:val="170"/>
        </w:trPr>
        <w:tc>
          <w:tcPr>
            <w:shd w:val="clear" w:color="auto" w:fill="ffffff" w:themeFill="background1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79" w:type="dxa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6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3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000000" w:fill="ffffff"/>
            <w:tcBorders>
              <w:bottom w:val="single" w:color="000000" w:sz="4" w:space="0"/>
              <w:right w:val="single" w:color="000000" w:sz="4" w:space="0"/>
            </w:tcBorders>
            <w:tcW w:w="4648" w:type="dxa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Углерод оксид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5" w:type="dxa"/>
            <w:textDirection w:val="lrTb"/>
            <w:noWrap w:val="false"/>
          </w:tcPr>
          <w:p>
            <w:pPr>
              <w:pStyle w:val="1889"/>
              <w:jc w:val="right"/>
              <w:rPr>
                <w:color w:val="000000"/>
                <w:sz w:val="22"/>
                <w:szCs w:val="22"/>
              </w:rPr>
            </w:pPr>
            <w:r/>
            <w:bookmarkStart w:id="209" w:name="_GoBack"/>
            <w:r/>
            <w:bookmarkEnd w:id="209"/>
            <w:r>
              <w:rPr>
                <w:color w:val="000000"/>
                <w:sz w:val="22"/>
                <w:szCs w:val="22"/>
              </w:rPr>
              <w:t xml:space="preserve">202,25376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6" w:type="dxa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Отсутствует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2296" w:type="dxa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Периодически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27" w:type="dxa"/>
            <w:textDirection w:val="lrTb"/>
            <w:noWrap w:val="false"/>
          </w:tcPr>
          <w:p>
            <w:pPr>
              <w:pStyle w:val="1889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5,00000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701" w:type="dxa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</w:tr>
      <w:tr>
        <w:tblPrEx/>
        <w:trPr>
          <w:trHeight w:val="170"/>
        </w:trPr>
        <w:tc>
          <w:tcPr>
            <w:shd w:val="clear" w:color="auto" w:fill="ffffff" w:themeFill="background1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79" w:type="dxa"/>
            <w:textDirection w:val="lrTb"/>
            <w:noWrap w:val="false"/>
          </w:tcPr>
          <w:p>
            <w:pPr>
              <w:pStyle w:val="1889"/>
              <w:ind w:left="15"/>
              <w:jc w:val="center"/>
              <w:spacing w:before="60" w:after="0" w:line="20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4</w:t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000000" w:fill="ffffff"/>
            <w:tcBorders>
              <w:bottom w:val="single" w:color="000000" w:sz="4" w:space="0"/>
              <w:right w:val="single" w:color="000000" w:sz="4" w:space="0"/>
            </w:tcBorders>
            <w:tcW w:w="4648" w:type="dxa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Метан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5" w:type="dxa"/>
            <w:textDirection w:val="lrTb"/>
            <w:noWrap w:val="false"/>
          </w:tcPr>
          <w:p>
            <w:pPr>
              <w:pStyle w:val="1889"/>
              <w:jc w:val="righ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5,05634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986" w:type="dxa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Отсутствует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2296" w:type="dxa"/>
            <w:textDirection w:val="lrTb"/>
            <w:noWrap w:val="false"/>
          </w:tcPr>
          <w:p>
            <w:pPr>
              <w:pStyle w:val="1889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Периодически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927" w:type="dxa"/>
            <w:textDirection w:val="lrTb"/>
            <w:noWrap w:val="false"/>
          </w:tcPr>
          <w:p>
            <w:pPr>
              <w:pStyle w:val="1889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50,00000</w:t>
            </w:r>
            <w:r>
              <w:rPr>
                <w:color w:val="000000"/>
                <w:sz w:val="22"/>
                <w:szCs w:val="22"/>
              </w:rPr>
            </w:r>
            <w:r>
              <w:rPr>
                <w:color w:val="000000"/>
                <w:sz w:val="22"/>
                <w:szCs w:val="22"/>
              </w:rPr>
            </w:r>
          </w:p>
        </w:tc>
        <w:tc>
          <w:tcPr>
            <w:shd w:val="clear" w:color="auto" w:fill="ffffff" w:themeFill="background1"/>
            <w:tcBorders>
              <w:bottom w:val="single" w:color="000000" w:sz="8" w:space="0"/>
              <w:right w:val="single" w:color="000000" w:sz="8" w:space="0"/>
            </w:tcBorders>
            <w:tcMar>
              <w:left w:w="108" w:type="dxa"/>
              <w:right w:w="108" w:type="dxa"/>
            </w:tcMar>
            <w:tcW w:w="1701" w:type="dxa"/>
            <w:textDirection w:val="lrTb"/>
            <w:noWrap w:val="false"/>
          </w:tcPr>
          <w:p>
            <w:pPr>
              <w:pStyle w:val="1889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  <w:tc>
          <w:tcPr>
            <w:shd w:val="clear" w:color="auto" w:fill="ffffff" w:themeFill="background1"/>
            <w:tcMar>
              <w:left w:w="10" w:type="dxa"/>
              <w:right w:w="10" w:type="dxa"/>
            </w:tcMar>
            <w:tcW w:w="0" w:type="dxa"/>
            <w:vAlign w:val="center"/>
            <w:textDirection w:val="lrTb"/>
            <w:noWrap w:val="false"/>
          </w:tcPr>
          <w:p>
            <w:pPr>
              <w:pStyle w:val="188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  <w:r>
              <w:rPr>
                <w:rFonts w:eastAsia="Calibri"/>
                <w:sz w:val="22"/>
                <w:szCs w:val="22"/>
                <w:lang w:eastAsia="en-US"/>
              </w:rPr>
            </w:r>
          </w:p>
        </w:tc>
      </w:tr>
    </w:tbl>
    <w:p>
      <w:pPr>
        <w:sectPr>
          <w:footnotePr/>
          <w:endnotePr/>
          <w:type w:val="continuous"/>
          <w:pgSz w:w="16838" w:h="11906" w:orient="landscape"/>
          <w:pgMar w:top="1134" w:right="851" w:bottom="1134" w:left="1701" w:header="567" w:footer="567" w:gutter="0"/>
          <w:cols w:num="1" w:sep="0" w:space="708" w:equalWidth="1"/>
          <w:docGrid w:linePitch="360"/>
        </w:sectPr>
      </w:pPr>
      <w:r/>
      <w:r/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b/>
        </w:rPr>
      </w:pPr>
      <w:r>
        <w:rPr>
          <w:b/>
        </w:rPr>
        <w:t xml:space="preserve">11 ХАРАКТЕРИСТИКА ТЕХНОЛОГИЧЕСКОГО ОБОРУДОВАНИЯ</w:t>
      </w:r>
      <w:r>
        <w:rPr>
          <w:b/>
        </w:rPr>
      </w:r>
      <w:r>
        <w:rPr>
          <w:b/>
        </w:rPr>
      </w:r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b/>
        </w:rPr>
      </w:pPr>
      <w:r>
        <w:rPr>
          <w:b/>
        </w:rPr>
        <w:t xml:space="preserve">11.1 Краткая характеристика оборудования</w:t>
      </w:r>
      <w:r>
        <w:rPr>
          <w:b/>
        </w:rPr>
      </w:r>
      <w:r>
        <w:rPr>
          <w:b/>
        </w:rPr>
      </w:r>
    </w:p>
    <w:p>
      <w:pPr>
        <w:pStyle w:val="1889"/>
        <w:ind w:firstLine="709"/>
        <w:spacing w:line="360" w:lineRule="auto"/>
        <w:rPr>
          <w:sz w:val="24"/>
        </w:rPr>
      </w:pPr>
      <w:r>
        <w:rPr>
          <w:sz w:val="24"/>
        </w:rPr>
        <w:t xml:space="preserve">Спецификация и краткие технические характеристики основного технологического оборудования приведены в таблице 11.1.</w:t>
      </w:r>
      <w:r>
        <w:rPr>
          <w:sz w:val="24"/>
        </w:rPr>
      </w:r>
      <w:r>
        <w:rPr>
          <w:sz w:val="24"/>
        </w:rPr>
      </w:r>
    </w:p>
    <w:p>
      <w:pPr>
        <w:pStyle w:val="1889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Таблица 11.1 – </w:t>
      </w:r>
      <w:r>
        <w:rPr>
          <w:sz w:val="24"/>
          <w:szCs w:val="24"/>
        </w:rPr>
        <w:t xml:space="preserve">Спецификация основного и технологического оборудования и их краткие технические характеристики 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4400" w:type="pct"/>
        <w:tblInd w:w="8" w:type="dxa"/>
        <w:tblLayout w:type="fixed"/>
        <w:tblCellMar>
          <w:left w:w="10" w:type="dxa"/>
          <w:top w:w="0" w:type="dxa"/>
          <w:right w:w="10" w:type="dxa"/>
          <w:bottom w:w="0" w:type="dxa"/>
        </w:tblCellMar>
        <w:tblLook w:val="0000" w:firstRow="0" w:lastRow="0" w:firstColumn="0" w:lastColumn="0" w:noHBand="0" w:noVBand="0"/>
      </w:tblPr>
      <w:tblGrid>
        <w:gridCol w:w="2759"/>
        <w:gridCol w:w="1973"/>
        <w:gridCol w:w="1596"/>
        <w:gridCol w:w="1572"/>
        <w:gridCol w:w="2496"/>
        <w:gridCol w:w="2174"/>
      </w:tblGrid>
      <w:tr>
        <w:tblPrEx/>
        <w:trPr>
          <w:cantSplit/>
          <w:trHeight w:val="480"/>
        </w:trPr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759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Наименование </w:t>
              <w:br/>
              <w:t xml:space="preserve">оборудования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973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Индекс позиции на технологической схеме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596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Количество, </w:t>
              <w:br/>
              <w:t xml:space="preserve">шт.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572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Материал корпуса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496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Технические характеристики оборудования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2030"/>
              <w:spacing w:before="60" w:after="60" w:line="360" w:lineRule="auto"/>
              <w:rPr>
                <w:b w:val="0"/>
                <w:bCs/>
              </w:rPr>
            </w:pPr>
            <w:r>
              <w:rPr>
                <w:b w:val="0"/>
                <w:bCs/>
              </w:rPr>
              <w:t xml:space="preserve">Наименование организации изготовителя</w:t>
            </w:r>
            <w:r>
              <w:rPr>
                <w:b w:val="0"/>
                <w:bCs/>
              </w:rPr>
            </w:r>
            <w:r>
              <w:rPr>
                <w:b w:val="0"/>
                <w:bCs/>
              </w:rPr>
            </w:r>
          </w:p>
        </w:tc>
      </w:tr>
      <w:tr>
        <w:tblPrEx/>
        <w:trPr>
          <w:cantSplit/>
          <w:trHeight w:val="480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75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Арматура фонтанная АФ6-80/65х35 К1 ХЛ</w:t>
            </w:r>
            <w:r/>
          </w:p>
          <w:p>
            <w:pPr>
              <w:pStyle w:val="1889"/>
              <w:jc w:val="center"/>
            </w:pPr>
            <w:r>
              <w:t xml:space="preserve">с колонной головкой ОКК2-35-168х245х324 К1 ХЛ</w:t>
            </w:r>
            <w:r/>
          </w:p>
          <w:p>
            <w:pPr>
              <w:pStyle w:val="1889"/>
              <w:jc w:val="center"/>
            </w:pPr>
            <w:r/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973" w:type="dxa"/>
            <w:vAlign w:val="center"/>
            <w:textDirection w:val="lrTb"/>
            <w:noWrap w:val="false"/>
          </w:tcPr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  <w:t xml:space="preserve">АФ-1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596" w:type="dxa"/>
            <w:vAlign w:val="center"/>
            <w:textDirection w:val="lrTb"/>
            <w:noWrap w:val="false"/>
          </w:tcPr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  <w:t xml:space="preserve">55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572" w:type="dxa"/>
            <w:vAlign w:val="center"/>
            <w:textDirection w:val="lrTb"/>
            <w:noWrap w:val="false"/>
          </w:tcPr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  <w:t xml:space="preserve">Ст.30ХМА ГОСТ 4543-71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496" w:type="dxa"/>
            <w:vAlign w:val="center"/>
            <w:textDirection w:val="lrTb"/>
            <w:noWrap w:val="false"/>
          </w:tcPr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  <w:t xml:space="preserve">Ду80х65, Ру35.0 МПа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ФГУП ВМЗ</w:t>
            </w:r>
            <w:r/>
          </w:p>
          <w:p>
            <w:pPr>
              <w:pStyle w:val="1889"/>
              <w:jc w:val="center"/>
            </w:pPr>
            <w:r>
              <w:t xml:space="preserve">г. Воронеж</w:t>
            </w:r>
            <w:r/>
          </w:p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cantSplit/>
          <w:trHeight w:val="480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75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Арматура фонтанная АФ6-80/65х35 К1 УХЛ ГОСТ 13846-89</w:t>
            </w:r>
            <w:r/>
          </w:p>
          <w:p>
            <w:pPr>
              <w:pStyle w:val="1889"/>
              <w:jc w:val="center"/>
            </w:pPr>
            <w:r>
              <w:t xml:space="preserve">с колонной головкой ОКК2-35-168х245х324 К1 УХЛ</w:t>
            </w:r>
            <w:r/>
          </w:p>
          <w:p>
            <w:pPr>
              <w:pStyle w:val="1889"/>
              <w:jc w:val="center"/>
            </w:pPr>
            <w:r>
              <w:t xml:space="preserve">(на скв. № 20302)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973" w:type="dxa"/>
            <w:vAlign w:val="center"/>
            <w:textDirection w:val="lrTb"/>
            <w:noWrap w:val="false"/>
          </w:tcPr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  <w:t xml:space="preserve">АФ-1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596" w:type="dxa"/>
            <w:vAlign w:val="center"/>
            <w:textDirection w:val="lrTb"/>
            <w:noWrap w:val="false"/>
          </w:tcPr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  <w:t xml:space="preserve">1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572" w:type="dxa"/>
            <w:vAlign w:val="center"/>
            <w:textDirection w:val="lrTb"/>
            <w:noWrap w:val="false"/>
          </w:tcPr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  <w:t xml:space="preserve">Ст.30ХМА ГОСТ 4543-71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496" w:type="dxa"/>
            <w:vAlign w:val="center"/>
            <w:textDirection w:val="lrTb"/>
            <w:noWrap w:val="false"/>
          </w:tcPr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  <w:t xml:space="preserve">Ду80х65, Ру35.0 МПа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  <w:t xml:space="preserve">ООО НПО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  <w:t xml:space="preserve">«Нефтегаздеталь»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blPrEx/>
        <w:trPr>
          <w:cantSplit/>
          <w:trHeight w:val="480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75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</w:pPr>
            <w:r>
              <w:t xml:space="preserve">Арматура фонтанная АФ6-80/65х35 К1 ХЛ1</w:t>
            </w:r>
            <w:r/>
          </w:p>
          <w:p>
            <w:pPr>
              <w:pStyle w:val="1889"/>
              <w:jc w:val="center"/>
              <w:rPr>
                <w:highlight w:val="none"/>
              </w:rPr>
            </w:pPr>
            <w:r>
              <w:t xml:space="preserve">с колонной головкой ОКК2-35-168х245х324 К1 ХЛ1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1889"/>
              <w:jc w:val="center"/>
            </w:pPr>
            <w:r>
              <w:t xml:space="preserve">(на скв. №№ 20102, 20305, 20601, 20701, 20804)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973" w:type="dxa"/>
            <w:vAlign w:val="center"/>
            <w:textDirection w:val="lrTb"/>
            <w:noWrap w:val="false"/>
          </w:tcPr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  <w:t xml:space="preserve">АФ-1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596" w:type="dxa"/>
            <w:vAlign w:val="center"/>
            <w:textDirection w:val="lrTb"/>
            <w:noWrap w:val="false"/>
          </w:tcPr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  <w:t xml:space="preserve">5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1572" w:type="dxa"/>
            <w:vAlign w:val="center"/>
            <w:textDirection w:val="lrTb"/>
            <w:noWrap w:val="false"/>
          </w:tcPr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  <w:t xml:space="preserve">Ст.30ХМА ГОСТ 4543-71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496" w:type="dxa"/>
            <w:vAlign w:val="center"/>
            <w:textDirection w:val="lrTb"/>
            <w:noWrap w:val="false"/>
          </w:tcPr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  <w:t xml:space="preserve">Ду80х65, Ру35.0 МПа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8" w:space="0"/>
            </w:tcBorders>
            <w:tcW w:w="2174" w:type="dxa"/>
            <w:vAlign w:val="center"/>
            <w:textDirection w:val="lrTb"/>
            <w:noWrap w:val="false"/>
          </w:tcPr>
          <w:p>
            <w:pPr>
              <w:pStyle w:val="1889"/>
              <w:ind w:left="-108" w:right="-108"/>
              <w:jc w:val="center"/>
            </w:pPr>
            <w:r>
              <w:t xml:space="preserve">ОАО «Зеленодольский</w:t>
            </w:r>
            <w:r/>
          </w:p>
          <w:p>
            <w:pPr>
              <w:pStyle w:val="1889"/>
              <w:ind w:left="-108" w:right="-108"/>
              <w:jc w:val="center"/>
            </w:pPr>
            <w:r>
              <w:t xml:space="preserve">завод имени</w:t>
            </w:r>
            <w:r/>
          </w:p>
          <w:p>
            <w:pPr>
              <w:pStyle w:val="1889"/>
              <w:ind w:left="-108" w:right="-108"/>
              <w:jc w:val="center"/>
            </w:pPr>
            <w:r>
              <w:t xml:space="preserve">А.М. Горького»</w:t>
            </w:r>
            <w:r/>
          </w:p>
          <w:p>
            <w:pPr>
              <w:pStyle w:val="2042"/>
              <w:spacing w:before="60" w:after="60" w:line="360" w:lineRule="auto"/>
              <w:rPr>
                <w:sz w:val="20"/>
              </w:rPr>
            </w:pPr>
            <w:r>
              <w:rPr>
                <w:sz w:val="20"/>
              </w:rPr>
              <w:t xml:space="preserve">г. Зеленодольск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  <w:p>
            <w:pPr>
              <w:pStyle w:val="2030"/>
              <w:spacing w:before="60" w:after="60"/>
            </w:pPr>
            <w:r/>
            <w:r/>
          </w:p>
        </w:tc>
      </w:tr>
    </w:tbl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b/>
          <w:bCs/>
          <w14:ligatures w14:val="none"/>
        </w:rPr>
      </w:pPr>
      <w:r>
        <w:rPr>
          <w:b/>
          <w:bCs/>
          <w14:ligatures w14:val="none"/>
        </w:rPr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>
      <w:pPr>
        <w:pStyle w:val="2168"/>
        <w:ind w:firstLine="709"/>
        <w:spacing w:before="0" w:after="0" w:line="360" w:lineRule="auto"/>
        <w:widowControl w:val="off"/>
        <w:rPr>
          <w:b/>
          <w:bCs/>
          <w14:ligatures w14:val="none"/>
        </w:rPr>
      </w:pPr>
      <w:r>
        <w:rPr>
          <w:b/>
          <w:bCs/>
        </w:rPr>
        <w:t xml:space="preserve">11.2 Клапаны предохранительные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>
      <w:pPr>
        <w:pStyle w:val="1889"/>
        <w:ind w:left="0" w:right="0" w:firstLine="709"/>
        <w:jc w:val="both"/>
        <w:spacing w:before="0" w:after="0" w:line="85" w:lineRule="atLeast"/>
      </w:pPr>
      <w:r>
        <w:rPr>
          <w:rFonts w:eastAsia="Times New Roman" w:cs="Times New Roman"/>
          <w:color w:val="000000"/>
          <w:sz w:val="28"/>
        </w:rPr>
        <w:t xml:space="preserve">На ОПО ФС ГП №  предохранительные клапаны не установлены.</w:t>
      </w:r>
      <w:r/>
    </w:p>
    <w:p>
      <w:pPr>
        <w:pStyle w:val="1889"/>
        <w:ind w:left="0" w:right="0" w:firstLine="709"/>
        <w:jc w:val="both"/>
        <w:spacing w:before="0" w:after="0" w:line="85" w:lineRule="atLeast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eastAsia="Times New Roman" w:cs="Times New Roman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  <w:r>
        <w:rPr>
          <w:rFonts w:ascii="Times New Roman" w:hAnsi="Times New Roman" w:eastAsia="Times New Roman" w:cs="Times New Roman"/>
          <w:color w:val="000000"/>
          <w:sz w:val="28"/>
        </w:rPr>
      </w:r>
    </w:p>
    <w:p>
      <w:pPr>
        <w:pStyle w:val="2168"/>
        <w:ind w:firstLine="709"/>
        <w:keepLines w:val="0"/>
        <w:keepNext w:val="0"/>
        <w:spacing w:before="0" w:after="0" w:line="360" w:lineRule="auto"/>
        <w:widowControl w:val="off"/>
        <w:rPr>
          <w:b/>
          <w:bCs/>
          <w14:ligatures w14:val="none"/>
        </w:rPr>
      </w:pPr>
      <w:r>
        <w:rPr>
          <w:b/>
          <w:bCs/>
        </w:rPr>
        <w:t xml:space="preserve">11.3 Спецификация насосно-компрессорного оборудования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>
      <w:pPr>
        <w:pStyle w:val="1889"/>
        <w:ind w:left="0" w:right="0" w:firstLine="709"/>
        <w:jc w:val="both"/>
        <w:spacing w:before="0" w:after="0" w:line="85" w:lineRule="atLeast"/>
      </w:pPr>
      <w:r>
        <w:rPr>
          <w:rFonts w:eastAsia="Times New Roman" w:cs="Times New Roman"/>
          <w:color w:val="000000"/>
          <w:sz w:val="28"/>
        </w:rPr>
        <w:t xml:space="preserve">На ОПО ФС ГП №  насосно-</w:t>
      </w:r>
      <w:r>
        <w:rPr>
          <w:rFonts w:eastAsia="Times New Roman" w:cs="Times New Roman"/>
          <w:color w:val="000000"/>
          <w:sz w:val="28"/>
          <w:szCs w:val="28"/>
        </w:rPr>
        <w:t xml:space="preserve">компрессорное </w:t>
      </w:r>
      <w:r>
        <w:rPr>
          <w:rFonts w:eastAsia="Times New Roman" w:cs="Times New Roman"/>
          <w:color w:val="000000"/>
          <w:sz w:val="28"/>
        </w:rPr>
        <w:t xml:space="preserve">оборудования не установлено.</w:t>
      </w:r>
      <w:r/>
    </w:p>
    <w:p>
      <w:pPr>
        <w:sectPr>
          <w:footnotePr/>
          <w:endnotePr/>
          <w:type w:val="continuous"/>
          <w:pgSz w:w="16838" w:h="11906" w:orient="landscape"/>
          <w:pgMar w:top="1134" w:right="851" w:bottom="1134" w:left="1701" w:header="567" w:footer="567" w:gutter="0"/>
          <w:cols w:num="1" w:sep="0" w:space="708" w:equalWidth="1"/>
          <w:docGrid w:linePitch="360"/>
        </w:sectPr>
      </w:pPr>
      <w:r/>
      <w:r/>
    </w:p>
    <w:p>
      <w:pPr>
        <w:pStyle w:val="2168"/>
        <w:ind w:firstLine="709"/>
        <w:spacing w:before="0" w:after="0" w:line="360" w:lineRule="auto"/>
        <w:rPr>
          <w:b/>
          <w:szCs w:val="28"/>
        </w:rPr>
      </w:pPr>
      <w:r/>
      <w:bookmarkStart w:id="210" w:name="_Toc13992456"/>
      <w:r/>
      <w:bookmarkStart w:id="211" w:name="_Toc184727335_Копия_1"/>
      <w:r/>
      <w:bookmarkStart w:id="212" w:name="_Toc184786824_Копия_1"/>
      <w:r/>
      <w:bookmarkStart w:id="213" w:name="_Toc184800476"/>
      <w:r/>
      <w:bookmarkStart w:id="214" w:name="_Toc385183441"/>
      <w:r/>
      <w:bookmarkStart w:id="215" w:name="_Toc385183304"/>
      <w:r/>
      <w:bookmarkStart w:id="216" w:name="_Toc184800475_Копия_1"/>
      <w:r/>
      <w:bookmarkStart w:id="217" w:name="_Toc385517777"/>
      <w:r/>
      <w:bookmarkStart w:id="218" w:name="_Toc184786998_Копия_1"/>
      <w:r/>
      <w:bookmarkStart w:id="219" w:name="_Toc385183544"/>
      <w:r/>
      <w:bookmarkStart w:id="220" w:name="_Toc184786825"/>
      <w:r/>
      <w:bookmarkStart w:id="221" w:name="_Toc184786999"/>
      <w:r/>
      <w:bookmarkStart w:id="222" w:name="_Toc389464448"/>
      <w:r/>
      <w:bookmarkStart w:id="223" w:name="_Toc184727336"/>
      <w:r/>
      <w:bookmarkStart w:id="224" w:name="_Toc385427514"/>
      <w:r/>
      <w:bookmarkStart w:id="225" w:name="_Toc157932345_Копия_1"/>
      <w:r/>
      <w:bookmarkEnd w:id="211"/>
      <w:r/>
      <w:bookmarkEnd w:id="212"/>
      <w:r/>
      <w:bookmarkEnd w:id="213"/>
      <w:r/>
      <w:bookmarkEnd w:id="214"/>
      <w:r/>
      <w:bookmarkEnd w:id="215"/>
      <w:r/>
      <w:bookmarkEnd w:id="216"/>
      <w:r/>
      <w:bookmarkEnd w:id="217"/>
      <w:r/>
      <w:bookmarkEnd w:id="218"/>
      <w:r/>
      <w:bookmarkEnd w:id="219"/>
      <w:r/>
      <w:bookmarkEnd w:id="220"/>
      <w:r/>
      <w:bookmarkEnd w:id="221"/>
      <w:r/>
      <w:bookmarkEnd w:id="222"/>
      <w:r/>
      <w:bookmarkEnd w:id="223"/>
      <w:r/>
      <w:bookmarkEnd w:id="224"/>
      <w:r/>
      <w:bookmarkEnd w:id="225"/>
      <w:r>
        <w:rPr>
          <w:b/>
        </w:rPr>
        <w:t xml:space="preserve">12 </w:t>
      </w:r>
      <w:bookmarkEnd w:id="210"/>
      <w:r>
        <w:rPr>
          <w:b/>
        </w:rPr>
        <w:t xml:space="preserve">ПЕРЕЧЕНЬ ОБЯЗАТЕЛЬНЫХ ИНСТРУКЦИЙ И НОРМАТИВНО-ТЕХНИЧЕСКОЙ ДОКУМЕНТАЦИИ</w:t>
      </w:r>
      <w:r>
        <w:rPr>
          <w:b/>
          <w:szCs w:val="28"/>
        </w:rPr>
      </w:r>
      <w:r>
        <w:rPr>
          <w:b/>
          <w:szCs w:val="28"/>
        </w:rPr>
      </w:r>
    </w:p>
    <w:p>
      <w:pPr>
        <w:pStyle w:val="1889"/>
        <w:ind w:firstLine="709"/>
        <w:jc w:val="both"/>
        <w:spacing w:line="360" w:lineRule="auto"/>
        <w:tabs>
          <w:tab w:val="clear" w:pos="709" w:leader="none"/>
          <w:tab w:val="left" w:pos="1134" w:leader="none"/>
        </w:tabs>
        <w:rPr>
          <w:sz w:val="24"/>
          <w:szCs w:val="28"/>
        </w:rPr>
      </w:pPr>
      <w:r>
        <w:rPr>
          <w:sz w:val="24"/>
          <w:szCs w:val="28"/>
        </w:rPr>
        <w:t xml:space="preserve">1. Обязательный перечень нормативно-технической документации, необходимой на пульте управления УКПГ для руководства и оперативного оформления: </w:t>
      </w:r>
      <w:r>
        <w:rPr>
          <w:sz w:val="24"/>
          <w:szCs w:val="28"/>
        </w:rPr>
      </w:r>
      <w:r>
        <w:rPr>
          <w:sz w:val="24"/>
          <w:szCs w:val="28"/>
        </w:rPr>
      </w:r>
    </w:p>
    <w:p>
      <w:pPr>
        <w:pStyle w:val="2171"/>
        <w:numPr>
          <w:ilvl w:val="0"/>
          <w:numId w:val="11"/>
        </w:numPr>
        <w:ind w:left="0" w:firstLine="709"/>
        <w:jc w:val="both"/>
        <w:spacing w:line="360" w:lineRule="auto"/>
        <w:tabs>
          <w:tab w:val="clear" w:pos="709" w:leader="none"/>
          <w:tab w:val="left" w:pos="851" w:leader="none"/>
        </w:tabs>
        <w:rPr>
          <w:rFonts w:eastAsia="Times New Roman"/>
          <w:b w:val="0"/>
          <w:sz w:val="24"/>
          <w:lang w:eastAsia="ru-RU"/>
        </w:rPr>
      </w:pPr>
      <w:r>
        <w:rPr>
          <w:rFonts w:eastAsia="Times New Roman"/>
          <w:b w:val="0"/>
          <w:sz w:val="24"/>
          <w:lang w:eastAsia="ru-RU"/>
        </w:rPr>
        <w:t xml:space="preserve">Федеральный закон от 21.07.1997 N 116-ФЗ «О промышленной безопасности опасных производственных объектов»;</w:t>
      </w:r>
      <w:r>
        <w:rPr>
          <w:rFonts w:eastAsia="Times New Roman"/>
          <w:b w:val="0"/>
          <w:sz w:val="24"/>
          <w:lang w:eastAsia="ru-RU"/>
        </w:rPr>
      </w:r>
      <w:r>
        <w:rPr>
          <w:rFonts w:eastAsia="Times New Roman"/>
          <w:b w:val="0"/>
          <w:sz w:val="24"/>
          <w:lang w:eastAsia="ru-RU"/>
        </w:rPr>
      </w:r>
    </w:p>
    <w:p>
      <w:pPr>
        <w:pStyle w:val="2171"/>
        <w:numPr>
          <w:ilvl w:val="0"/>
          <w:numId w:val="11"/>
        </w:numPr>
        <w:ind w:left="0" w:firstLine="709"/>
        <w:jc w:val="both"/>
        <w:spacing w:line="360" w:lineRule="auto"/>
        <w:tabs>
          <w:tab w:val="clear" w:pos="709" w:leader="none"/>
          <w:tab w:val="left" w:pos="851" w:leader="none"/>
        </w:tabs>
        <w:rPr>
          <w:rFonts w:eastAsia="Times New Roman"/>
          <w:b w:val="0"/>
          <w:sz w:val="24"/>
          <w:lang w:eastAsia="ru-RU"/>
        </w:rPr>
      </w:pPr>
      <w:r>
        <w:rPr>
          <w:rFonts w:eastAsia="Times New Roman"/>
          <w:b w:val="0"/>
          <w:sz w:val="24"/>
          <w:lang w:eastAsia="ru-RU"/>
        </w:rPr>
        <w:t xml:space="preserve">Федеральный закон от 30.12.2009 N 384-ФЗ «Технический регламент о безопасности зданий и сооружений»</w:t>
      </w:r>
      <w:r>
        <w:rPr>
          <w:rFonts w:eastAsia="Times New Roman"/>
          <w:b w:val="0"/>
          <w:sz w:val="24"/>
          <w:lang w:eastAsia="ru-RU"/>
        </w:rPr>
      </w:r>
      <w:r>
        <w:rPr>
          <w:rFonts w:eastAsia="Times New Roman"/>
          <w:b w:val="0"/>
          <w:sz w:val="24"/>
          <w:lang w:eastAsia="ru-RU"/>
        </w:rPr>
      </w:r>
    </w:p>
    <w:p>
      <w:pPr>
        <w:pStyle w:val="2171"/>
        <w:numPr>
          <w:ilvl w:val="0"/>
          <w:numId w:val="11"/>
        </w:numPr>
        <w:ind w:left="0" w:firstLine="709"/>
        <w:jc w:val="both"/>
        <w:spacing w:line="360" w:lineRule="auto"/>
        <w:tabs>
          <w:tab w:val="clear" w:pos="709" w:leader="none"/>
          <w:tab w:val="left" w:pos="851" w:leader="none"/>
        </w:tabs>
        <w:rPr>
          <w:rFonts w:eastAsia="Times New Roman"/>
          <w:b w:val="0"/>
          <w:sz w:val="24"/>
          <w:lang w:eastAsia="ru-RU"/>
        </w:rPr>
      </w:pPr>
      <w:r>
        <w:rPr>
          <w:rFonts w:eastAsia="Times New Roman"/>
          <w:b w:val="0"/>
          <w:sz w:val="24"/>
          <w:lang w:eastAsia="ru-RU"/>
        </w:rPr>
        <w:t xml:space="preserve">Федеральные нормы и правила в области промышленной безопасности «Правила безопасности в нефтяной и газовой промышленности»;</w:t>
      </w:r>
      <w:r>
        <w:rPr>
          <w:rFonts w:eastAsia="Times New Roman"/>
          <w:b w:val="0"/>
          <w:sz w:val="24"/>
          <w:lang w:eastAsia="ru-RU"/>
        </w:rPr>
      </w:r>
      <w:r>
        <w:rPr>
          <w:rFonts w:eastAsia="Times New Roman"/>
          <w:b w:val="0"/>
          <w:sz w:val="24"/>
          <w:lang w:eastAsia="ru-RU"/>
        </w:rPr>
      </w:r>
    </w:p>
    <w:p>
      <w:pPr>
        <w:pStyle w:val="2171"/>
        <w:numPr>
          <w:ilvl w:val="0"/>
          <w:numId w:val="11"/>
        </w:numPr>
        <w:ind w:left="0" w:firstLine="709"/>
        <w:jc w:val="both"/>
        <w:spacing w:line="360" w:lineRule="auto"/>
        <w:tabs>
          <w:tab w:val="clear" w:pos="709" w:leader="none"/>
          <w:tab w:val="left" w:pos="851" w:leader="none"/>
        </w:tabs>
        <w:rPr>
          <w:rFonts w:eastAsia="Times New Roman"/>
          <w:b w:val="0"/>
          <w:sz w:val="24"/>
          <w:lang w:eastAsia="ru-RU"/>
        </w:rPr>
      </w:pPr>
      <w:r>
        <w:rPr>
          <w:rFonts w:eastAsia="Times New Roman"/>
          <w:b w:val="0"/>
          <w:sz w:val="24"/>
          <w:shd w:val="clear" w:color="auto" w:fill="auto"/>
          <w:lang w:eastAsia="ru-RU"/>
        </w:rPr>
        <w:t xml:space="preserve">Феде</w:t>
      </w:r>
      <w:r>
        <w:rPr>
          <w:rFonts w:eastAsia="Times New Roman"/>
          <w:b w:val="0"/>
          <w:sz w:val="24"/>
          <w:shd w:val="clear" w:color="auto" w:fill="auto"/>
          <w:lang w:eastAsia="en-US"/>
        </w:rPr>
        <w:t xml:space="preserve">ральные нормы и правила в области промышленной безопасности</w:t>
        <w:br/>
        <w:t xml:space="preserve">"Правила промышленной безопасности при использовании оборудования, работающего под избыточным давлением</w:t>
      </w:r>
      <w:r>
        <w:rPr>
          <w:rFonts w:eastAsia="Times New Roman"/>
          <w:b w:val="0"/>
          <w:sz w:val="24"/>
          <w:shd w:val="clear" w:color="auto" w:fill="auto"/>
          <w:lang w:eastAsia="ru-RU"/>
        </w:rPr>
        <w:t xml:space="preserve">» от 15.12.2020 №536;</w:t>
      </w:r>
      <w:r>
        <w:rPr>
          <w:rFonts w:eastAsia="Times New Roman"/>
          <w:b w:val="0"/>
          <w:sz w:val="24"/>
          <w:lang w:eastAsia="ru-RU"/>
        </w:rPr>
      </w:r>
      <w:r>
        <w:rPr>
          <w:rFonts w:eastAsia="Times New Roman"/>
          <w:b w:val="0"/>
          <w:sz w:val="24"/>
          <w:lang w:eastAsia="ru-RU"/>
        </w:rPr>
      </w:r>
    </w:p>
    <w:p>
      <w:pPr>
        <w:pStyle w:val="2171"/>
        <w:numPr>
          <w:ilvl w:val="0"/>
          <w:numId w:val="11"/>
        </w:numPr>
        <w:ind w:left="0" w:firstLine="709"/>
        <w:jc w:val="both"/>
        <w:spacing w:line="360" w:lineRule="auto"/>
        <w:tabs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eastAsia="Times New Roman"/>
          <w:b w:val="0"/>
          <w:sz w:val="24"/>
          <w:shd w:val="clear" w:color="auto" w:fill="auto"/>
          <w:lang w:eastAsia="ru-RU"/>
        </w:rPr>
        <w:t xml:space="preserve">Федеральные нормы и правила в области промышленной безопасности «Правила безопасного ведения газоопасных, огневых и ремонтных работ» от 15.12.2020 №528;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1"/>
        </w:numPr>
        <w:ind w:left="0" w:firstLine="709"/>
        <w:jc w:val="both"/>
        <w:spacing w:line="360" w:lineRule="auto"/>
        <w:tabs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eastAsia="Times New Roman"/>
          <w:b w:val="0"/>
          <w:sz w:val="24"/>
          <w:shd w:val="clear" w:color="auto" w:fill="auto"/>
          <w:lang w:eastAsia="ru-RU"/>
        </w:rPr>
        <w:t xml:space="preserve">Федеральные нормы и правила в области промышленной безопасности «Правила безопасности опасных производственных объектов, на которых используются подъёмные сооружения» от 26.11.2020 №461;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1"/>
        </w:numPr>
        <w:ind w:left="0" w:firstLine="709"/>
        <w:jc w:val="both"/>
        <w:spacing w:line="360" w:lineRule="auto"/>
        <w:tabs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eastAsia="Times New Roman"/>
          <w:b w:val="0"/>
          <w:sz w:val="24"/>
          <w:shd w:val="clear" w:color="auto" w:fill="auto"/>
          <w:lang w:eastAsia="ru-RU"/>
        </w:rPr>
        <w:t xml:space="preserve">Правила противопожарного режима в Российской Федерации от 16.09.2020 №1479;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1"/>
        </w:numPr>
        <w:ind w:left="0" w:firstLine="709"/>
        <w:jc w:val="both"/>
        <w:spacing w:line="360" w:lineRule="auto"/>
        <w:tabs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eastAsia="Times New Roman"/>
          <w:b w:val="0"/>
          <w:sz w:val="24"/>
          <w:shd w:val="clear" w:color="auto" w:fill="auto"/>
          <w:lang w:eastAsia="ru-RU"/>
        </w:rPr>
        <w:t xml:space="preserve">Порядок проведения технического расследования причин аварий, инцидентов и случаев утраты взрывчатых материалов промышленного назначения на объектах, поднадзорных Ростехнадзору от 08.12.2020 №503;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1"/>
        </w:numPr>
        <w:ind w:left="0" w:firstLine="709"/>
        <w:jc w:val="both"/>
        <w:spacing w:line="360" w:lineRule="auto"/>
        <w:widowControl w:val="off"/>
        <w:tabs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eastAsia="Times New Roman"/>
          <w:b w:val="0"/>
          <w:sz w:val="24"/>
          <w:szCs w:val="24"/>
          <w:shd w:val="clear" w:color="auto" w:fill="auto"/>
          <w:lang w:eastAsia="ru-RU"/>
        </w:rPr>
        <w:t xml:space="preserve"> </w:t>
      </w:r>
      <w:r>
        <w:rPr>
          <w:rFonts w:eastAsia="Times New Roman"/>
          <w:b w:val="0"/>
          <w:sz w:val="24"/>
          <w:szCs w:val="24"/>
          <w:shd w:val="clear" w:color="auto" w:fill="auto"/>
          <w:lang w:eastAsia="ru-RU"/>
        </w:rPr>
        <w:t xml:space="preserve">Инструкция по организации безопасного проведения газоопасных работ на опасных производственных объектах 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1"/>
        </w:numPr>
        <w:ind w:left="0" w:firstLine="709"/>
        <w:jc w:val="both"/>
        <w:spacing w:line="360" w:lineRule="auto"/>
        <w:widowControl w:val="off"/>
        <w:tabs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eastAsia="Times New Roman"/>
          <w:b w:val="0"/>
          <w:sz w:val="24"/>
          <w:szCs w:val="24"/>
          <w:shd w:val="clear" w:color="auto" w:fill="auto"/>
          <w:lang w:eastAsia="ru-RU"/>
        </w:rPr>
        <w:t xml:space="preserve">Инструкция по безопасному ведению огневых работ на опасных производственных объектах 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1"/>
        </w:numPr>
        <w:ind w:left="0" w:firstLine="709"/>
        <w:jc w:val="both"/>
        <w:spacing w:line="360" w:lineRule="auto"/>
        <w:widowControl w:val="off"/>
        <w:tabs>
          <w:tab w:val="clear" w:pos="709" w:leader="none"/>
          <w:tab w:val="left" w:pos="851" w:leader="none"/>
        </w:tabs>
        <w:rPr>
          <w:highlight w:val="none"/>
          <w:shd w:val="clear" w:color="auto" w:fill="auto"/>
        </w:rPr>
      </w:pPr>
      <w:r>
        <w:rPr>
          <w:rFonts w:eastAsia="Times New Roman"/>
          <w:b w:val="0"/>
          <w:sz w:val="24"/>
          <w:szCs w:val="24"/>
          <w:shd w:val="clear" w:color="auto" w:fill="auto"/>
          <w:lang w:eastAsia="ru-RU"/>
        </w:rPr>
        <w:t xml:space="preserve"> </w:t>
      </w:r>
      <w:r>
        <w:rPr>
          <w:rFonts w:eastAsia="Times New Roman"/>
          <w:b w:val="0"/>
          <w:sz w:val="24"/>
          <w:szCs w:val="24"/>
          <w:shd w:val="clear" w:color="auto" w:fill="auto"/>
          <w:lang w:eastAsia="ru-RU"/>
        </w:rPr>
        <w:t xml:space="preserve">Инструкция о порядке получения от поставщиков, перевозки, хранения, отпуска и применения метанола на объектах добычи, транспорта и ПХГ ПАО "Газпром";</w:t>
      </w:r>
      <w:r>
        <w:rPr>
          <w:highlight w:val="none"/>
          <w:shd w:val="clear" w:color="auto" w:fill="auto"/>
        </w:rPr>
      </w:r>
      <w:r>
        <w:rPr>
          <w:highlight w:val="none"/>
          <w:shd w:val="clear" w:color="auto" w:fill="auto"/>
        </w:rPr>
      </w:r>
    </w:p>
    <w:p>
      <w:pPr>
        <w:pStyle w:val="2171"/>
        <w:numPr>
          <w:ilvl w:val="0"/>
          <w:numId w:val="11"/>
        </w:numPr>
        <w:ind w:left="0" w:firstLine="709"/>
        <w:jc w:val="both"/>
        <w:spacing w:line="360" w:lineRule="auto"/>
        <w:widowControl w:val="off"/>
        <w:tabs>
          <w:tab w:val="clear" w:pos="709" w:leader="none"/>
          <w:tab w:val="left" w:pos="851" w:leader="none"/>
        </w:tabs>
        <w:rPr>
          <w:rFonts w:eastAsia="Times New Roman"/>
          <w:b w:val="0"/>
          <w:sz w:val="24"/>
          <w:szCs w:val="24"/>
          <w:lang w:eastAsia="ru-RU"/>
        </w:rPr>
      </w:pPr>
      <w:r>
        <w:rPr>
          <w:rFonts w:eastAsia="Times New Roman"/>
          <w:b w:val="0"/>
          <w:sz w:val="24"/>
          <w:szCs w:val="24"/>
          <w:shd w:val="clear" w:color="auto" w:fill="auto"/>
          <w:lang w:eastAsia="ru-RU"/>
        </w:rPr>
        <w:t xml:space="preserve">Положение об информировании, расследовании и анализе причин происш</w:t>
      </w:r>
      <w:r>
        <w:rPr>
          <w:rFonts w:eastAsia="Times New Roman"/>
          <w:b w:val="0"/>
          <w:sz w:val="24"/>
          <w:szCs w:val="24"/>
          <w:lang w:eastAsia="ru-RU"/>
        </w:rPr>
        <w:t xml:space="preserve">ествий в ;</w:t>
      </w:r>
      <w:r>
        <w:rPr>
          <w:rFonts w:eastAsia="Times New Roman"/>
          <w:b w:val="0"/>
          <w:sz w:val="24"/>
          <w:szCs w:val="24"/>
          <w:lang w:eastAsia="ru-RU"/>
        </w:rPr>
      </w:r>
      <w:r>
        <w:rPr>
          <w:rFonts w:eastAsia="Times New Roman"/>
          <w:b w:val="0"/>
          <w:sz w:val="24"/>
          <w:szCs w:val="24"/>
          <w:lang w:eastAsia="ru-RU"/>
        </w:rPr>
      </w:r>
    </w:p>
    <w:p>
      <w:pPr>
        <w:pStyle w:val="2171"/>
        <w:numPr>
          <w:ilvl w:val="0"/>
          <w:numId w:val="11"/>
        </w:numPr>
        <w:ind w:left="0" w:firstLine="709"/>
        <w:jc w:val="both"/>
        <w:spacing w:line="360" w:lineRule="auto"/>
        <w:widowControl w:val="off"/>
        <w:tabs>
          <w:tab w:val="clear" w:pos="709" w:leader="none"/>
          <w:tab w:val="left" w:pos="851" w:leader="none"/>
        </w:tabs>
        <w:rPr>
          <w:rFonts w:eastAsia="Times New Roman"/>
          <w:b w:val="0"/>
          <w:sz w:val="24"/>
          <w:szCs w:val="24"/>
          <w:lang w:eastAsia="ru-RU"/>
        </w:rPr>
      </w:pPr>
      <w:r>
        <w:rPr>
          <w:rFonts w:eastAsia="Times New Roman"/>
          <w:b w:val="0"/>
          <w:sz w:val="24"/>
          <w:szCs w:val="24"/>
          <w:lang w:eastAsia="ru-RU"/>
        </w:rPr>
        <w:t xml:space="preserve">Производственные инструкции, разработанные на основании квалификационных требований по соответствующим профессиям, эксплуатирующим объект;</w:t>
      </w:r>
      <w:r>
        <w:rPr>
          <w:rFonts w:eastAsia="Times New Roman"/>
          <w:b w:val="0"/>
          <w:sz w:val="24"/>
          <w:szCs w:val="24"/>
          <w:lang w:eastAsia="ru-RU"/>
        </w:rPr>
      </w:r>
      <w:r>
        <w:rPr>
          <w:rFonts w:eastAsia="Times New Roman"/>
          <w:b w:val="0"/>
          <w:sz w:val="24"/>
          <w:szCs w:val="24"/>
          <w:lang w:eastAsia="ru-RU"/>
        </w:rPr>
      </w:r>
    </w:p>
    <w:p>
      <w:pPr>
        <w:pStyle w:val="2171"/>
        <w:numPr>
          <w:ilvl w:val="0"/>
          <w:numId w:val="11"/>
        </w:numPr>
        <w:ind w:left="0" w:firstLine="709"/>
        <w:jc w:val="both"/>
        <w:spacing w:line="360" w:lineRule="auto"/>
        <w:widowControl w:val="off"/>
        <w:tabs>
          <w:tab w:val="clear" w:pos="709" w:leader="none"/>
          <w:tab w:val="left" w:pos="851" w:leader="none"/>
        </w:tabs>
        <w:rPr>
          <w:rFonts w:eastAsia="Times New Roman"/>
          <w:b w:val="0"/>
          <w:sz w:val="24"/>
          <w:szCs w:val="24"/>
          <w:lang w:eastAsia="ru-RU"/>
        </w:rPr>
      </w:pPr>
      <w:r>
        <w:rPr>
          <w:rFonts w:eastAsia="Times New Roman"/>
          <w:b w:val="0"/>
          <w:sz w:val="24"/>
          <w:szCs w:val="24"/>
          <w:lang w:eastAsia="ru-RU"/>
        </w:rPr>
        <w:t xml:space="preserve">Должностные инструкции мастера по добыче нефти, газа и конденсата;</w:t>
      </w:r>
      <w:r>
        <w:rPr>
          <w:rFonts w:eastAsia="Times New Roman"/>
          <w:b w:val="0"/>
          <w:sz w:val="24"/>
          <w:szCs w:val="24"/>
          <w:lang w:eastAsia="ru-RU"/>
        </w:rPr>
      </w:r>
      <w:r>
        <w:rPr>
          <w:rFonts w:eastAsia="Times New Roman"/>
          <w:b w:val="0"/>
          <w:sz w:val="24"/>
          <w:szCs w:val="24"/>
          <w:lang w:eastAsia="ru-RU"/>
        </w:rPr>
      </w:r>
    </w:p>
    <w:p>
      <w:pPr>
        <w:pStyle w:val="2171"/>
        <w:numPr>
          <w:ilvl w:val="0"/>
          <w:numId w:val="11"/>
        </w:numPr>
        <w:ind w:left="0" w:firstLine="709"/>
        <w:jc w:val="both"/>
        <w:spacing w:line="360" w:lineRule="auto"/>
        <w:widowControl w:val="off"/>
        <w:tabs>
          <w:tab w:val="clear" w:pos="709" w:leader="none"/>
          <w:tab w:val="left" w:pos="851" w:leader="none"/>
        </w:tabs>
        <w:rPr>
          <w:rFonts w:eastAsia="Times New Roman"/>
          <w:b w:val="0"/>
          <w:sz w:val="24"/>
          <w:szCs w:val="24"/>
          <w:lang w:eastAsia="ru-RU"/>
        </w:rPr>
      </w:pPr>
      <w:r>
        <w:rPr>
          <w:rFonts w:eastAsia="Times New Roman"/>
          <w:b w:val="0"/>
          <w:sz w:val="24"/>
          <w:szCs w:val="24"/>
          <w:lang w:eastAsia="ru-RU"/>
        </w:rPr>
        <w:t xml:space="preserve">Производственные инструкции оператора по добыче нефти и газа (по разрядам).</w:t>
      </w:r>
      <w:r>
        <w:rPr>
          <w:rFonts w:eastAsia="Times New Roman"/>
          <w:b w:val="0"/>
          <w:sz w:val="24"/>
          <w:szCs w:val="24"/>
          <w:lang w:eastAsia="ru-RU"/>
        </w:rPr>
      </w:r>
      <w:r>
        <w:rPr>
          <w:rFonts w:eastAsia="Times New Roman"/>
          <w:b w:val="0"/>
          <w:sz w:val="24"/>
          <w:szCs w:val="24"/>
          <w:lang w:eastAsia="ru-RU"/>
        </w:rPr>
      </w:r>
    </w:p>
    <w:p>
      <w:pPr>
        <w:pStyle w:val="1889"/>
        <w:ind w:firstLine="709"/>
        <w:jc w:val="both"/>
        <w:spacing w:line="360" w:lineRule="auto"/>
        <w:tabs>
          <w:tab w:val="clear" w:pos="709" w:leader="none"/>
          <w:tab w:val="left" w:pos="1134" w:leader="none"/>
        </w:tabs>
        <w:rPr>
          <w:sz w:val="24"/>
          <w:szCs w:val="28"/>
        </w:rPr>
      </w:pPr>
      <w:r>
        <w:rPr>
          <w:sz w:val="24"/>
          <w:szCs w:val="28"/>
        </w:rPr>
        <w:t xml:space="preserve">2. Перечни инструкций ОПО:</w:t>
      </w:r>
      <w:r>
        <w:rPr>
          <w:sz w:val="24"/>
          <w:szCs w:val="28"/>
        </w:rPr>
      </w:r>
      <w:r>
        <w:rPr>
          <w:sz w:val="24"/>
          <w:szCs w:val="28"/>
        </w:rPr>
      </w:r>
    </w:p>
    <w:p>
      <w:pPr>
        <w:pStyle w:val="1889"/>
        <w:numPr>
          <w:ilvl w:val="0"/>
          <w:numId w:val="92"/>
        </w:numPr>
        <w:ind w:left="0" w:firstLine="709"/>
        <w:jc w:val="both"/>
        <w:spacing w:line="360" w:lineRule="auto"/>
        <w:rPr>
          <w:sz w:val="24"/>
          <w:szCs w:val="28"/>
        </w:rPr>
      </w:pPr>
      <w:r>
        <w:rPr>
          <w:sz w:val="24"/>
          <w:szCs w:val="28"/>
        </w:rPr>
        <w:t xml:space="preserve">Действующий перечень производственных инструкций общего применения;</w:t>
      </w:r>
      <w:r>
        <w:rPr>
          <w:sz w:val="24"/>
          <w:szCs w:val="28"/>
        </w:rPr>
      </w:r>
      <w:r>
        <w:rPr>
          <w:sz w:val="24"/>
          <w:szCs w:val="28"/>
        </w:rPr>
      </w:r>
    </w:p>
    <w:p>
      <w:pPr>
        <w:pStyle w:val="1889"/>
        <w:numPr>
          <w:ilvl w:val="0"/>
          <w:numId w:val="93"/>
        </w:numPr>
        <w:ind w:left="0" w:firstLine="709"/>
        <w:jc w:val="both"/>
        <w:spacing w:line="360" w:lineRule="auto"/>
        <w:rPr>
          <w:sz w:val="24"/>
          <w:szCs w:val="28"/>
        </w:rPr>
      </w:pPr>
      <w:r>
        <w:rPr>
          <w:sz w:val="24"/>
          <w:szCs w:val="28"/>
        </w:rPr>
        <w:t xml:space="preserve">Действующий перечень инструкций по охране труда по профессиям;</w:t>
      </w:r>
      <w:r>
        <w:rPr>
          <w:sz w:val="24"/>
          <w:szCs w:val="28"/>
        </w:rPr>
      </w:r>
      <w:r>
        <w:rPr>
          <w:sz w:val="24"/>
          <w:szCs w:val="28"/>
        </w:rPr>
      </w:r>
    </w:p>
    <w:p>
      <w:pPr>
        <w:pStyle w:val="1889"/>
        <w:numPr>
          <w:ilvl w:val="0"/>
          <w:numId w:val="94"/>
        </w:numPr>
        <w:ind w:left="0" w:firstLine="709"/>
        <w:jc w:val="both"/>
        <w:spacing w:line="360" w:lineRule="auto"/>
        <w:rPr>
          <w:b/>
          <w:spacing w:val="28"/>
          <w:sz w:val="24"/>
          <w:szCs w:val="28"/>
        </w:rPr>
      </w:pPr>
      <w:r>
        <w:rPr>
          <w:sz w:val="24"/>
          <w:szCs w:val="28"/>
        </w:rPr>
        <w:t xml:space="preserve">Действующий перечень инструкций по безопасной эксплуатации и обслуживанию оборудования;</w:t>
      </w:r>
      <w:r>
        <w:rPr>
          <w:b/>
          <w:spacing w:val="28"/>
          <w:sz w:val="24"/>
          <w:szCs w:val="28"/>
        </w:rPr>
      </w:r>
      <w:r>
        <w:rPr>
          <w:b/>
          <w:spacing w:val="28"/>
          <w:sz w:val="24"/>
          <w:szCs w:val="28"/>
        </w:rPr>
      </w:r>
    </w:p>
    <w:p>
      <w:pPr>
        <w:pStyle w:val="1889"/>
        <w:numPr>
          <w:ilvl w:val="0"/>
          <w:numId w:val="95"/>
        </w:numPr>
        <w:ind w:left="0" w:firstLine="709"/>
        <w:jc w:val="both"/>
        <w:spacing w:line="360" w:lineRule="auto"/>
        <w:rPr>
          <w:b/>
          <w:spacing w:val="28"/>
          <w:sz w:val="24"/>
          <w:szCs w:val="28"/>
        </w:rPr>
      </w:pPr>
      <w:r>
        <w:rPr>
          <w:sz w:val="24"/>
          <w:szCs w:val="28"/>
        </w:rPr>
        <w:t xml:space="preserve">Действующий перечень инструкций по охране труда по видам работ;</w:t>
      </w:r>
      <w:r>
        <w:rPr>
          <w:b/>
          <w:spacing w:val="28"/>
          <w:sz w:val="24"/>
          <w:szCs w:val="28"/>
        </w:rPr>
      </w:r>
      <w:r>
        <w:rPr>
          <w:b/>
          <w:spacing w:val="28"/>
          <w:sz w:val="24"/>
          <w:szCs w:val="28"/>
        </w:rPr>
      </w:r>
    </w:p>
    <w:p>
      <w:pPr>
        <w:pStyle w:val="1889"/>
        <w:numPr>
          <w:ilvl w:val="0"/>
          <w:numId w:val="96"/>
        </w:numPr>
        <w:ind w:left="0" w:firstLine="709"/>
        <w:jc w:val="both"/>
        <w:spacing w:line="360" w:lineRule="auto"/>
        <w:rPr>
          <w:b/>
          <w:spacing w:val="28"/>
          <w:sz w:val="24"/>
          <w:szCs w:val="28"/>
        </w:rPr>
      </w:pPr>
      <w:r>
        <w:rPr>
          <w:sz w:val="24"/>
          <w:szCs w:val="28"/>
        </w:rPr>
        <w:t xml:space="preserve">Действующий перечень инструкций о мерах пожарной безопасности;</w:t>
      </w:r>
      <w:r>
        <w:rPr>
          <w:b/>
          <w:spacing w:val="28"/>
          <w:sz w:val="24"/>
          <w:szCs w:val="28"/>
        </w:rPr>
      </w:r>
      <w:r>
        <w:rPr>
          <w:b/>
          <w:spacing w:val="28"/>
          <w:sz w:val="24"/>
          <w:szCs w:val="28"/>
        </w:rPr>
      </w:r>
    </w:p>
    <w:p>
      <w:pPr>
        <w:pStyle w:val="1889"/>
        <w:ind w:firstLine="709"/>
        <w:jc w:val="both"/>
        <w:spacing w:line="360" w:lineRule="auto"/>
        <w:rPr>
          <w:sz w:val="24"/>
          <w:szCs w:val="28"/>
        </w:rPr>
      </w:pPr>
      <w:r>
        <w:rPr>
          <w:sz w:val="24"/>
          <w:szCs w:val="28"/>
        </w:rPr>
        <w:t xml:space="preserve">6.</w:t>
        <w:tab/>
        <w:t xml:space="preserve">Перечень нормативно-технической документации.</w:t>
      </w:r>
      <w:r>
        <w:rPr>
          <w:sz w:val="24"/>
          <w:szCs w:val="28"/>
        </w:rPr>
      </w:r>
      <w:r>
        <w:rPr>
          <w:sz w:val="24"/>
          <w:szCs w:val="28"/>
        </w:rPr>
      </w:r>
    </w:p>
    <w:p>
      <w:pPr>
        <w:pStyle w:val="1889"/>
        <w:ind w:firstLine="709"/>
        <w:jc w:val="both"/>
        <w:spacing w:line="360" w:lineRule="auto"/>
        <w:tabs>
          <w:tab w:val="clear" w:pos="709" w:leader="none"/>
          <w:tab w:val="left" w:pos="1134" w:leader="none"/>
        </w:tabs>
        <w:rPr>
          <w:sz w:val="24"/>
          <w:szCs w:val="28"/>
        </w:rPr>
      </w:pPr>
      <w:r>
        <w:rPr>
          <w:sz w:val="24"/>
          <w:szCs w:val="28"/>
        </w:rPr>
        <w:t xml:space="preserve">Перечень законодательных и иных нормативных документов, содержащих требования охраны труда и промышленной безопасности, применимых к деятельности Филиалщего управления .</w:t>
      </w:r>
      <w:r>
        <w:rPr>
          <w:sz w:val="24"/>
          <w:szCs w:val="28"/>
        </w:rPr>
      </w:r>
      <w:r>
        <w:rPr>
          <w:sz w:val="24"/>
          <w:szCs w:val="28"/>
        </w:rPr>
      </w:r>
    </w:p>
    <w:p>
      <w:pPr>
        <w:pStyle w:val="1889"/>
        <w:ind w:firstLine="709"/>
        <w:jc w:val="both"/>
        <w:spacing w:line="360" w:lineRule="auto"/>
        <w:tabs>
          <w:tab w:val="clear" w:pos="709" w:leader="none"/>
          <w:tab w:val="left" w:pos="1134" w:leader="none"/>
        </w:tabs>
        <w:rPr>
          <w:sz w:val="24"/>
          <w:szCs w:val="28"/>
        </w:rPr>
      </w:pPr>
      <w:r>
        <w:rPr>
          <w:sz w:val="24"/>
          <w:szCs w:val="28"/>
        </w:rPr>
      </w:r>
      <w:r>
        <w:br w:type="page" w:clear="all"/>
      </w:r>
      <w:r>
        <w:rPr>
          <w:sz w:val="24"/>
          <w:szCs w:val="28"/>
        </w:rPr>
      </w:r>
      <w:r>
        <w:rPr>
          <w:sz w:val="24"/>
          <w:szCs w:val="28"/>
        </w:rPr>
      </w:r>
    </w:p>
    <w:p>
      <w:pPr>
        <w:pStyle w:val="2168"/>
        <w:ind w:firstLine="709"/>
        <w:spacing w:before="0" w:after="0" w:line="360" w:lineRule="auto"/>
        <w:rPr>
          <w:b/>
        </w:rPr>
      </w:pPr>
      <w:r/>
      <w:bookmarkStart w:id="226" w:name="_Toc13992457"/>
      <w:r>
        <w:rPr>
          <w:b/>
        </w:rPr>
        <w:t xml:space="preserve">13 ТЕХНОЛОГИЧЕСКИЕ СХЕМЫ</w:t>
      </w:r>
      <w:bookmarkEnd w:id="226"/>
      <w:r>
        <w:rPr>
          <w:b/>
        </w:rPr>
      </w:r>
      <w:r>
        <w:rPr>
          <w:b/>
        </w:rPr>
      </w:r>
    </w:p>
    <w:p>
      <w:pPr>
        <w:pStyle w:val="2167"/>
        <w:ind w:firstLine="709"/>
        <w:rPr>
          <w:rFonts w:cs="Times New Roman"/>
          <w:b/>
        </w:rPr>
      </w:pPr>
      <w:r>
        <w:rPr>
          <w:rFonts w:cs="Times New Roman"/>
          <w:b/>
        </w:rPr>
        <w:t xml:space="preserve">ПЕРЕЧЕНЬ ПРИЛОЖЕНИЙ:</w:t>
      </w:r>
      <w:r>
        <w:rPr>
          <w:rFonts w:cs="Times New Roman"/>
          <w:b/>
        </w:rPr>
      </w:r>
      <w:r>
        <w:rPr>
          <w:rFonts w:cs="Times New Roman"/>
          <w:b/>
        </w:rPr>
      </w:r>
    </w:p>
    <w:p>
      <w:pPr>
        <w:pStyle w:val="2159"/>
        <w:ind w:firstLine="709"/>
        <w:jc w:val="both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</w:pPr>
      <w:r>
        <w:t xml:space="preserve">Приложение А</w:t>
        <w:tab/>
        <w:t xml:space="preserve">Схема сбора газа ГП</w:t>
      </w:r>
      <w:r/>
    </w:p>
    <w:p>
      <w:pPr>
        <w:pStyle w:val="2159"/>
        <w:ind w:firstLine="709"/>
        <w:jc w:val="both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</w:pPr>
      <w:r>
        <w:t xml:space="preserve">Приложение Б</w:t>
        <w:tab/>
        <w:t xml:space="preserve">Куст газовых скважин №1-10. Технологическая схема и схема </w:t>
      </w:r>
      <w:r/>
    </w:p>
    <w:p>
      <w:pPr>
        <w:pStyle w:val="2159"/>
        <w:ind w:firstLine="709"/>
        <w:jc w:val="both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</w:pPr>
      <w:r>
        <w:t xml:space="preserve">КИПиА</w:t>
      </w:r>
      <w:r>
        <w:br w:type="page" w:clear="all"/>
      </w:r>
      <w:r/>
    </w:p>
    <w:p>
      <w:pPr>
        <w:pStyle w:val="2168"/>
        <w:ind w:firstLine="709"/>
        <w:spacing w:before="0" w:after="0" w:line="360" w:lineRule="auto"/>
        <w:rPr>
          <w:b/>
        </w:rPr>
      </w:pPr>
      <w:r/>
      <w:bookmarkStart w:id="227" w:name="_Toc13992458"/>
      <w:r>
        <w:rPr>
          <w:b/>
        </w:rPr>
        <w:t xml:space="preserve">14 ЭКСПЛИКАЦИЯ ОБОРУДОВАНИЯ</w:t>
      </w:r>
      <w:bookmarkEnd w:id="227"/>
      <w:r>
        <w:rPr>
          <w:b/>
        </w:rPr>
      </w:r>
      <w:r>
        <w:rPr>
          <w:b/>
        </w:rPr>
      </w:r>
    </w:p>
    <w:p>
      <w:pPr>
        <w:pStyle w:val="2168"/>
        <w:spacing w:before="0" w:after="0"/>
        <w:rPr>
          <w:szCs w:val="28"/>
        </w:rPr>
      </w:pPr>
      <w:r>
        <w:rPr>
          <w:szCs w:val="28"/>
        </w:rPr>
        <w:t xml:space="preserve">Таблица 14.1 – Экспликация оборудования</w:t>
      </w:r>
      <w:r>
        <w:rPr>
          <w:szCs w:val="28"/>
        </w:rPr>
      </w:r>
      <w:r>
        <w:rPr>
          <w:szCs w:val="28"/>
        </w:rPr>
      </w:r>
    </w:p>
    <w:tbl>
      <w:tblPr>
        <w:tblW w:w="5000" w:type="pct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96"/>
        <w:gridCol w:w="7162"/>
        <w:gridCol w:w="1680"/>
      </w:tblGrid>
      <w:tr>
        <w:tblPrEx/>
        <w:trPr>
          <w:trHeight w:val="815"/>
          <w:tblHeader/>
        </w:trPr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№ </w:t>
            </w:r>
            <w:r>
              <w:t xml:space="preserve">п/п</w:t>
            </w:r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6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Наименование оборудования</w:t>
            </w:r>
            <w:r/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360" w:lineRule="auto"/>
            </w:pPr>
            <w:r>
              <w:t xml:space="preserve">Количество, шт.</w:t>
            </w:r>
            <w:r/>
          </w:p>
        </w:tc>
      </w:tr>
      <w:tr>
        <w:tblPrEx/>
        <w:trPr>
          <w:trHeight w:val="340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6" w:type="dxa"/>
            <w:vAlign w:val="center"/>
            <w:textDirection w:val="lrTb"/>
            <w:noWrap w:val="false"/>
          </w:tcPr>
          <w:p>
            <w:pPr>
              <w:pStyle w:val="2167"/>
              <w:ind w:firstLine="0"/>
              <w:jc w:val="center"/>
              <w:rPr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 xml:space="preserve">1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62" w:type="dxa"/>
            <w:vAlign w:val="center"/>
            <w:textDirection w:val="lrTb"/>
            <w:noWrap w:val="false"/>
          </w:tcPr>
          <w:p>
            <w:pPr>
              <w:pStyle w:val="2023"/>
              <w:jc w:val="left"/>
              <w:spacing w:before="0" w:after="0" w:line="360" w:lineRule="auto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Колонная головка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0" w:type="dxa"/>
            <w:vAlign w:val="center"/>
            <w:textDirection w:val="lrTb"/>
            <w:noWrap w:val="false"/>
          </w:tcPr>
          <w:p>
            <w:pPr>
              <w:pStyle w:val="1889"/>
              <w:numPr>
                <w:ilvl w:val="0"/>
                <w:numId w:val="0"/>
              </w:numPr>
              <w:ind w:left="0" w:firstLine="0"/>
              <w:jc w:val="center"/>
              <w:spacing w:line="360" w:lineRule="auto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61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  <w:tr>
        <w:tblPrEx/>
        <w:trPr>
          <w:trHeight w:val="340"/>
        </w:trPr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96" w:type="dxa"/>
            <w:vAlign w:val="center"/>
            <w:textDirection w:val="lrTb"/>
            <w:noWrap w:val="false"/>
          </w:tcPr>
          <w:p>
            <w:pPr>
              <w:pStyle w:val="2167"/>
              <w:ind w:firstLine="0"/>
              <w:jc w:val="center"/>
              <w:rPr>
                <w:sz w:val="24"/>
                <w:szCs w:val="20"/>
              </w:rPr>
            </w:pPr>
            <w:r>
              <w:rPr>
                <w:rFonts w:cs="Times New Roman"/>
                <w:sz w:val="24"/>
                <w:szCs w:val="20"/>
              </w:rPr>
              <w:t xml:space="preserve">2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162" w:type="dxa"/>
            <w:vAlign w:val="center"/>
            <w:textDirection w:val="lrTb"/>
            <w:noWrap w:val="false"/>
          </w:tcPr>
          <w:p>
            <w:pPr>
              <w:pStyle w:val="2023"/>
              <w:jc w:val="left"/>
              <w:spacing w:before="0" w:after="0" w:line="360" w:lineRule="auto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Арматура фонтанная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80" w:type="dxa"/>
            <w:vAlign w:val="center"/>
            <w:textDirection w:val="lrTb"/>
            <w:noWrap w:val="false"/>
          </w:tcPr>
          <w:p>
            <w:pPr>
              <w:pStyle w:val="1889"/>
              <w:numPr>
                <w:ilvl w:val="0"/>
                <w:numId w:val="0"/>
              </w:numPr>
              <w:ind w:left="0" w:firstLine="0"/>
              <w:jc w:val="center"/>
              <w:spacing w:line="360" w:lineRule="auto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61</w:t>
            </w:r>
            <w:r>
              <w:rPr>
                <w:sz w:val="24"/>
                <w:szCs w:val="20"/>
              </w:rPr>
            </w:r>
            <w:r>
              <w:rPr>
                <w:sz w:val="24"/>
                <w:szCs w:val="20"/>
              </w:rPr>
            </w:r>
          </w:p>
        </w:tc>
      </w:tr>
    </w:tbl>
    <w:p>
      <w:pPr>
        <w:pStyle w:val="1889"/>
      </w:pPr>
      <w:r/>
      <w:r/>
    </w:p>
    <w:p>
      <w:pPr>
        <w:pStyle w:val="1889"/>
      </w:pPr>
      <w:r>
        <w:br w:type="page" w:clear="all"/>
      </w:r>
      <w:r/>
    </w:p>
    <w:p>
      <w:pPr>
        <w:pStyle w:val="1889"/>
        <w:spacing w:before="0" w:after="0"/>
      </w:pPr>
      <w:r/>
      <w:r/>
    </w:p>
    <w:p>
      <w:pPr>
        <w:pStyle w:val="2159"/>
        <w:ind w:firstLine="709"/>
        <w:jc w:val="right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</w:pPr>
      <w:r>
        <w:t xml:space="preserve">Приложение А</w:t>
      </w:r>
      <w:r/>
    </w:p>
    <w:p>
      <w:pPr>
        <w:pStyle w:val="2159"/>
        <w:ind w:firstLine="709"/>
        <w:jc w:val="right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  <w:rPr>
          <w:highlight w:val="none"/>
        </w:rPr>
      </w:pPr>
      <w:r>
        <w:tab/>
        <w:t xml:space="preserve">Схема сбора газа ГП- Заполярного НГКМ</w:t>
      </w:r>
      <w:r>
        <w:rPr>
          <w:highlight w:val="none"/>
        </w:rPr>
      </w:r>
      <w:r>
        <w:rPr>
          <w:highlight w:val="none"/>
        </w:rPr>
      </w:r>
    </w:p>
    <w:p>
      <w:pPr>
        <w:pStyle w:val="2159"/>
        <w:ind w:firstLine="709"/>
        <w:jc w:val="center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2159"/>
        <w:ind w:firstLine="709"/>
        <w:jc w:val="both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2159"/>
        <w:ind w:firstLine="709"/>
        <w:jc w:val="both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2159"/>
        <w:ind w:firstLine="709"/>
        <w:jc w:val="center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  <w:rPr>
          <w:highlight w:val="none"/>
        </w:rPr>
      </w:pPr>
      <w:r>
        <w:t xml:space="preserve">Схема сбора газа ГП- Заполярного НГКМ приложена в АСУД-Directum</w:t>
      </w:r>
      <w:r>
        <w:rPr>
          <w:highlight w:val="none"/>
        </w:rPr>
      </w:r>
      <w:r>
        <w:rPr>
          <w:highlight w:val="none"/>
        </w:rPr>
      </w:r>
    </w:p>
    <w:p>
      <w:pPr>
        <w:pStyle w:val="2159"/>
        <w:ind w:firstLine="709"/>
        <w:jc w:val="both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</w:pPr>
      <w:r/>
      <w:r/>
    </w:p>
    <w:p>
      <w:pPr>
        <w:pStyle w:val="1889"/>
      </w:pPr>
      <w:r>
        <w:br w:type="page" w:clear="all"/>
      </w:r>
      <w:r/>
    </w:p>
    <w:p>
      <w:pPr>
        <w:pStyle w:val="2159"/>
        <w:ind w:firstLine="709"/>
        <w:jc w:val="right"/>
        <w:spacing w:before="0" w:after="0"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</w:pPr>
      <w:r>
        <w:t xml:space="preserve">Приложение Б</w:t>
      </w:r>
      <w:r/>
    </w:p>
    <w:p>
      <w:pPr>
        <w:pStyle w:val="2159"/>
        <w:ind w:firstLine="709"/>
        <w:jc w:val="right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</w:pPr>
      <w:r>
        <w:t xml:space="preserve">Куст газовых скважин №1-10. Технологическая схема и схема КИПиА</w:t>
      </w:r>
      <w:r/>
    </w:p>
    <w:p>
      <w:pPr>
        <w:pStyle w:val="2159"/>
        <w:ind w:firstLine="709"/>
        <w:jc w:val="right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</w:pPr>
      <w:r/>
      <w:r/>
    </w:p>
    <w:p>
      <w:pPr>
        <w:pStyle w:val="2159"/>
        <w:ind w:firstLine="709"/>
        <w:jc w:val="right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</w:pPr>
      <w:r/>
      <w:r/>
    </w:p>
    <w:p>
      <w:pPr>
        <w:pStyle w:val="2159"/>
        <w:ind w:firstLine="709"/>
        <w:jc w:val="right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2159"/>
        <w:ind w:firstLine="709"/>
        <w:jc w:val="center"/>
        <w:spacing w:line="360" w:lineRule="auto"/>
        <w:tabs>
          <w:tab w:val="clear" w:pos="709" w:leader="none"/>
          <w:tab w:val="left" w:pos="1701" w:leader="none"/>
          <w:tab w:val="left" w:pos="1843" w:leader="none"/>
          <w:tab w:val="left" w:pos="1985" w:leader="none"/>
        </w:tabs>
        <w:rPr>
          <w:highlight w:val="none"/>
        </w:rPr>
      </w:pPr>
      <w:r>
        <w:t xml:space="preserve">Технологическая схема и схема КИПиА приложена в АСУД-Directum</w:t>
      </w:r>
      <w:r>
        <w:rPr>
          <w:highlight w:val="none"/>
        </w:rPr>
      </w:r>
      <w:r>
        <w:rPr>
          <w:highlight w:val="none"/>
        </w:rPr>
      </w:r>
    </w:p>
    <w:p>
      <w:pPr>
        <w:sectPr>
          <w:headerReference w:type="default" r:id="rId36"/>
          <w:headerReference w:type="first" r:id="rId37"/>
          <w:footerReference w:type="default" r:id="rId67"/>
          <w:footerReference w:type="first" r:id="rId68"/>
          <w:footnotePr/>
          <w:endnotePr/>
          <w:type w:val="nextPage"/>
          <w:pgSz w:w="11906" w:h="16838" w:orient="portrait"/>
          <w:pgMar w:top="1701" w:right="1134" w:bottom="851" w:left="1134" w:header="567" w:footer="567" w:gutter="0"/>
          <w:cols w:num="1" w:sep="0" w:space="708" w:equalWidth="1"/>
          <w:docGrid w:linePitch="360"/>
          <w:titlePg/>
        </w:sectPr>
      </w:pPr>
      <w:r>
        <w:br w:type="page" w:clear="all"/>
      </w:r>
      <w:r/>
    </w:p>
    <w:p>
      <w:pPr>
        <w:pStyle w:val="1890"/>
        <w:numPr>
          <w:ilvl w:val="0"/>
          <w:numId w:val="0"/>
        </w:numPr>
        <w:ind w:left="0" w:firstLine="709"/>
        <w:keepNext w:val="0"/>
        <w:spacing w:before="0" w:after="240" w:line="360" w:lineRule="auto"/>
        <w:widowControl w:val="off"/>
        <w:rPr>
          <w:rFonts w:ascii="Times New Roman" w:hAnsi="Times New Roman"/>
          <w:b w:val="0"/>
          <w:spacing w:val="0"/>
        </w:rPr>
      </w:pPr>
      <w:r>
        <w:rPr>
          <w:rFonts w:ascii="Times New Roman" w:hAnsi="Times New Roman"/>
          <w:spacing w:val="0"/>
        </w:rPr>
        <w:t xml:space="preserve">ЛИСТ РЕГИСТРАЦИИ ИЗМЕНЕНИЙ</w:t>
      </w:r>
      <w:r>
        <w:rPr>
          <w:rFonts w:ascii="Times New Roman" w:hAnsi="Times New Roman"/>
          <w:b w:val="0"/>
          <w:spacing w:val="0"/>
        </w:rPr>
      </w:r>
      <w:r>
        <w:rPr>
          <w:rFonts w:ascii="Times New Roman" w:hAnsi="Times New Roman"/>
          <w:b w:val="0"/>
          <w:spacing w:val="0"/>
        </w:rPr>
      </w:r>
    </w:p>
    <w:tbl>
      <w:tblPr>
        <w:tblW w:w="14312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51"/>
        <w:gridCol w:w="992"/>
        <w:gridCol w:w="993"/>
        <w:gridCol w:w="919"/>
        <w:gridCol w:w="1206"/>
        <w:gridCol w:w="1330"/>
        <w:gridCol w:w="1882"/>
        <w:gridCol w:w="2208"/>
        <w:gridCol w:w="2256"/>
        <w:gridCol w:w="1673"/>
      </w:tblGrid>
      <w:tr>
        <w:tblPrEx/>
        <w:trPr>
          <w:trHeight w:val="300"/>
        </w:trPr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изменения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gridSpan w:val="4"/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Номера листов (страниц)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0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Всего листов (стр.) в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документе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2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№ </w:t>
            </w:r>
            <w:r>
              <w:rPr>
                <w:sz w:val="22"/>
                <w:szCs w:val="22"/>
              </w:rPr>
              <w:t xml:space="preserve">документа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8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Входящий №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сопроводительного документа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6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Подпись, Ф.И.О., Должность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3" w:type="dxa"/>
            <w:vAlign w:val="center"/>
            <w:vMerge w:val="restart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Дата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118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изменённых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заменённых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новых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аннулированных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0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2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8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6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3" w:type="dxa"/>
            <w:vAlign w:val="center"/>
            <w:vMerge w:val="continue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266"/>
        </w:trPr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2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2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2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2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3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2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4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2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5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2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6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2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7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2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2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9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f2f2f2" w:themeFill="background1" w:themeFillShade="F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spacing w:line="20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10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56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56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56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56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56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56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56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56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blPrEx/>
        <w:trPr>
          <w:trHeight w:val="567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51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19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0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0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08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6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673" w:type="dxa"/>
            <w:vAlign w:val="center"/>
            <w:textDirection w:val="lrTb"/>
            <w:noWrap w:val="false"/>
          </w:tcPr>
          <w:p>
            <w:pPr>
              <w:pStyle w:val="1889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1889"/>
        <w:spacing w:line="360" w:lineRule="auto"/>
        <w:rPr>
          <w:sz w:val="24"/>
        </w:r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sectPr>
      <w:headerReference w:type="default" r:id="rId38"/>
      <w:headerReference w:type="first" r:id="rId39"/>
      <w:footerReference w:type="default" r:id="rId69"/>
      <w:footerReference w:type="first" r:id="rId70"/>
      <w:footnotePr/>
      <w:endnotePr/>
      <w:type w:val="nextPage"/>
      <w:pgSz w:w="16838" w:h="11906" w:orient="landscape"/>
      <w:pgMar w:top="1134" w:right="851" w:bottom="1134" w:left="1701" w:header="567" w:footer="567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Symbol">
    <w:panose1 w:val="05050102010706020507"/>
  </w:font>
  <w:font w:name="Calibri">
    <w:panose1 w:val="020F0502020204030204"/>
  </w:font>
  <w:font w:name="Wingdings">
    <w:panose1 w:val="05000000000000000000"/>
  </w:font>
  <w:font w:name="Franklin Gothic Book">
    <w:panose1 w:val="020B0604020202020204"/>
  </w:font>
  <w:font w:name="Times New Roman CYR">
    <w:panose1 w:val="02020603050405020304"/>
  </w:font>
  <w:font w:name="Tahoma">
    <w:panose1 w:val="020B0606040504020204"/>
  </w:font>
  <w:font w:name="MS Mincho">
    <w:panose1 w:val="02020606060505090204"/>
  </w:font>
  <w:font w:name="StarSymbol">
    <w:panose1 w:val="020B0604020202020204"/>
  </w:font>
  <w:font w:name="Cambria">
    <w:panose1 w:val="02040503050406030204"/>
  </w:font>
  <w:font w:name="Arial CYR">
    <w:panose1 w:val="020B0604020202020204"/>
  </w:font>
  <w:font w:name="Arial">
    <w:panose1 w:val="020B0604020202020204"/>
  </w:font>
  <w:font w:name="Franklin Gothic Medium">
    <w:panose1 w:val="020B0604020202020204"/>
  </w:font>
  <w:font w:name="Arial Unicode MS">
    <w:panose1 w:val="020B0604020202020204"/>
  </w:font>
  <w:font w:name="WenQuanYi Micro Hei">
    <w:panose1 w:val="020B0606030804020204"/>
  </w:font>
  <w:font w:name="Lucida Sans Unicode">
    <w:panose1 w:val="020B0603030804020204"/>
  </w:font>
  <w:font w:name="Lohit Devanagari">
    <w:panose1 w:val="020B0600000000000000"/>
  </w:font>
  <w:font w:name="Courier New">
    <w:panose1 w:val="020703090202050204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jc w:val="right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3</w:t>
    </w:r>
    <w:r>
      <w:fldChar w:fldCharType="end"/>
    </w:r>
    <w:r/>
  </w:p>
  <w:p>
    <w:pPr>
      <w:pStyle w:val="2028"/>
      <w:jc w:val="right"/>
      <w:spacing w:before="60" w:after="6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11</w:t>
    </w:r>
    <w:r>
      <w:fldChar w:fldCharType="end"/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13</w:t>
    </w:r>
    <w:r>
      <w:fldChar w:fldCharType="end"/>
    </w:r>
    <w:r/>
  </w:p>
  <w:p>
    <w:pPr>
      <w:pStyle w:val="1889"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12</w:t>
    </w:r>
    <w:r>
      <w:fldChar w:fldCharType="end"/>
    </w:r>
    <w:r/>
  </w:p>
  <w:p>
    <w:pPr>
      <w:pStyle w:val="2028"/>
      <w:ind w:left="720"/>
      <w:jc w:val="center"/>
    </w:pPr>
    <w:r/>
    <w:r/>
  </w:p>
  <w:p>
    <w:pPr>
      <w:pStyle w:val="2028"/>
    </w:pPr>
    <w:r/>
    <w:r/>
  </w:p>
  <w:p>
    <w:pPr>
      <w:pStyle w:val="1889"/>
    </w:pPr>
    <w:r/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16</w:t>
    </w:r>
    <w:r>
      <w:fldChar w:fldCharType="end"/>
    </w:r>
    <w:r/>
  </w:p>
  <w:p>
    <w:pPr>
      <w:pStyle w:val="1889"/>
    </w:pPr>
    <w:r/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14</w:t>
    </w:r>
    <w:r>
      <w:fldChar w:fldCharType="end"/>
    </w:r>
    <w:r/>
  </w:p>
  <w:p>
    <w:pPr>
      <w:pStyle w:val="2028"/>
      <w:ind w:left="720"/>
      <w:jc w:val="center"/>
    </w:pPr>
    <w:r/>
    <w:r/>
  </w:p>
  <w:p>
    <w:pPr>
      <w:pStyle w:val="2028"/>
    </w:pPr>
    <w:r/>
    <w:r/>
  </w:p>
  <w:p>
    <w:pPr>
      <w:pStyle w:val="1889"/>
    </w:pPr>
    <w:r/>
    <w:r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26</w:t>
    </w:r>
    <w:r>
      <w:fldChar w:fldCharType="end"/>
    </w:r>
    <w:r/>
  </w:p>
  <w:p>
    <w:pPr>
      <w:pStyle w:val="1889"/>
    </w:pPr>
    <w:r/>
    <w:r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25</w:t>
    </w:r>
    <w:r>
      <w:fldChar w:fldCharType="end"/>
    </w:r>
    <w:r/>
  </w:p>
  <w:p>
    <w:pPr>
      <w:pStyle w:val="2028"/>
      <w:ind w:left="720"/>
      <w:jc w:val="center"/>
    </w:pPr>
    <w:r/>
    <w:r/>
  </w:p>
  <w:p>
    <w:pPr>
      <w:pStyle w:val="2028"/>
    </w:pPr>
    <w:r/>
    <w:r/>
  </w:p>
  <w:p>
    <w:pPr>
      <w:pStyle w:val="1889"/>
    </w:pPr>
    <w:r/>
    <w:r/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36</w:t>
    </w:r>
    <w:r>
      <w:fldChar w:fldCharType="end"/>
    </w:r>
    <w:r/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jc w:val="right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60</w:t>
    </w:r>
    <w:r>
      <w:fldChar w:fldCharType="end"/>
    </w:r>
    <w:r/>
  </w:p>
  <w:p>
    <w:pPr>
      <w:pStyle w:val="2028"/>
      <w:jc w:val="right"/>
      <w:spacing w:before="60" w:after="60"/>
    </w:pPr>
    <w:r/>
    <w:r/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 xml:space="preserve">49</w:t>
    </w:r>
    <w:r>
      <w:fldChar w:fldCharType="end"/>
    </w:r>
    <w:r/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62</w:t>
    </w:r>
    <w:r>
      <w:fldChar w:fldCharType="end"/>
    </w:r>
    <w:r/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61</w:t>
    </w:r>
    <w:r>
      <w:fldChar w:fldCharType="end"/>
    </w:r>
    <w:r/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64</w:t>
    </w:r>
    <w:r>
      <w:fldChar w:fldCharType="end"/>
    </w:r>
    <w:r/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63</w:t>
    </w:r>
    <w:r>
      <w:fldChar w:fldCharType="end"/>
    </w:r>
    <w:r/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65</w:t>
    </w:r>
    <w:r>
      <w:fldChar w:fldCharType="end"/>
    </w:r>
    <w:r/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jc w:val="right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69</w:t>
    </w:r>
    <w:r>
      <w:fldChar w:fldCharType="end"/>
    </w:r>
    <w:r/>
  </w:p>
  <w:p>
    <w:pPr>
      <w:pStyle w:val="2028"/>
      <w:jc w:val="right"/>
      <w:spacing w:before="60" w:after="60"/>
    </w:pPr>
    <w:r/>
    <w:r/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66</w:t>
    </w:r>
    <w:r>
      <w:fldChar w:fldCharType="end"/>
    </w:r>
    <w:r/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71</w:t>
    </w:r>
    <w:r>
      <w:fldChar w:fldCharType="end"/>
    </w:r>
    <w:r/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70</w:t>
    </w:r>
    <w:r>
      <w:fldChar w:fldCharType="end"/>
    </w:r>
    <w:r/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jc w:val="right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77</w:t>
    </w:r>
    <w:r>
      <w:fldChar w:fldCharType="end"/>
    </w:r>
    <w:r/>
  </w:p>
  <w:p>
    <w:pPr>
      <w:pStyle w:val="2028"/>
      <w:jc w:val="right"/>
      <w:spacing w:before="60" w:after="60"/>
    </w:pPr>
    <w:r/>
    <w:r/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72</w:t>
    </w:r>
    <w:r>
      <w:fldChar w:fldCharType="end"/>
    </w:r>
    <w:r/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79</w:t>
    </w:r>
    <w:r>
      <w:fldChar w:fldCharType="end"/>
    </w:r>
    <w:r/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jc w:val="right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85</w:t>
    </w:r>
    <w:r>
      <w:fldChar w:fldCharType="end"/>
    </w:r>
    <w:r/>
  </w:p>
  <w:p>
    <w:pPr>
      <w:pStyle w:val="2028"/>
      <w:jc w:val="right"/>
      <w:spacing w:before="60" w:after="60"/>
    </w:pPr>
    <w:r/>
    <w:r/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80</w:t>
    </w:r>
    <w:r>
      <w:fldChar w:fldCharType="end"/>
    </w:r>
    <w:r/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0</w:t>
    </w:r>
    <w:r>
      <w:fldChar w:fldCharType="end"/>
    </w:r>
    <w:r/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8"/>
      <w:jc w:val="right"/>
      <w:spacing w:before="60" w:after="60"/>
    </w:pPr>
    <w:r>
      <w:fldChar w:fldCharType="begin"/>
    </w:r>
    <w:r>
      <w:instrText xml:space="preserve"> PAGE </w:instrText>
    </w:r>
    <w:r>
      <w:fldChar w:fldCharType="separate"/>
    </w:r>
    <w:r>
      <w:t xml:space="preserve">86</w:t>
    </w:r>
    <w:r>
      <w:fldChar w:fldCharType="end"/>
    </w:r>
    <w:r/>
  </w:p>
  <w:p>
    <w:pPr>
      <w:pStyle w:val="2028"/>
      <w:jc w:val="right"/>
      <w:spacing w:before="60" w:after="6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</w:t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</w:t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</w:t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</w:t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</w:t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</w:t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jc w:val="center"/>
      <w:spacing w:before="60" w:after="60"/>
    </w:pPr>
    <w:r/>
    <w:r/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</w:r>
    <w:r>
      <w:rPr>
        <w:sz w:val="24"/>
        <w:szCs w:val="24"/>
      </w:rPr>
    </w:r>
    <w:r>
      <w:rPr>
        <w:sz w:val="24"/>
        <w:szCs w:val="24"/>
      </w:rPr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ind w:right="-108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ind w:right="-108"/>
      <w:jc w:val="right"/>
      <w:spacing w:before="60" w:after="60"/>
    </w:pPr>
    <w:r>
      <w:rPr>
        <w:sz w:val="24"/>
        <w:szCs w:val="24"/>
      </w:rPr>
      <w:t xml:space="preserve">Фонд скважин Газового промысла ГП-</w:t>
    </w:r>
    <w:r/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/>
    <w:r/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jc w:val="center"/>
      <w:spacing w:before="60" w:after="60"/>
    </w:pPr>
    <w:r/>
    <w:r/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jc w:val="right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jc w:val="center"/>
      <w:spacing w:before="60" w:after="60"/>
    </w:pPr>
    <w:r/>
    <w:r/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6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месторождение. ГП- Технологический регламент эксплуатации</w:t>
    </w:r>
    <w:r>
      <w:rPr>
        <w:sz w:val="24"/>
        <w:szCs w:val="24"/>
      </w:rPr>
    </w:r>
    <w:r>
      <w:rPr>
        <w:sz w:val="24"/>
        <w:szCs w:val="24"/>
      </w:rPr>
    </w:r>
  </w:p>
  <w:p>
    <w:pPr>
      <w:pStyle w:val="2026"/>
      <w:jc w:val="right"/>
      <w:spacing w:before="60" w:after="60"/>
      <w:rPr>
        <w:sz w:val="24"/>
        <w:szCs w:val="24"/>
      </w:rPr>
    </w:pPr>
    <w:r>
      <w:rPr>
        <w:sz w:val="24"/>
        <w:szCs w:val="24"/>
      </w:rPr>
      <w:t xml:space="preserve">Фонд скважин Газового промысла ГП-</w:t>
    </w:r>
    <w:r>
      <w:rPr>
        <w:sz w:val="24"/>
        <w:szCs w:val="24"/>
      </w:rPr>
    </w:r>
    <w:r>
      <w:rPr>
        <w:sz w:val="24"/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pStyle w:val="2054"/>
      <w:isLgl w:val="false"/>
      <w:suff w:val="tab"/>
      <w:lvlText w:val=""/>
      <w:lvlJc w:val="left"/>
      <w:pPr>
        <w:ind w:left="624" w:hanging="454"/>
        <w:tabs>
          <w:tab w:val="num" w:pos="680" w:leader="none"/>
        </w:tabs>
      </w:pPr>
      <w:rPr>
        <w:rFonts w:hint="default" w:ascii="Symbol" w:hAnsi="Symbol" w:cs="Symbol"/>
      </w:rPr>
    </w:lvl>
    <w:lvl w:ilvl="1">
      <w:start w:val="0"/>
      <w:numFmt w:val="bullet"/>
      <w:isLgl w:val="false"/>
      <w:suff w:val="tab"/>
      <w:lvlText w:val="•"/>
      <w:lvlJc w:val="left"/>
      <w:pPr>
        <w:ind w:left="1440" w:hanging="360"/>
        <w:tabs>
          <w:tab w:val="num" w:pos="0" w:leader="none"/>
        </w:tabs>
      </w:pPr>
      <w:rPr>
        <w:rFonts w:hint="default" w:ascii="Times New Roman" w:hAnsi="Times New Roman" w:cs="Times New Roman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1">
    <w:multiLevelType w:val="hybridMultilevel"/>
    <w:lvl w:ilvl="0">
      <w:start w:val="1"/>
      <w:numFmt w:val="decimal"/>
      <w:pStyle w:val="2010"/>
      <w:isLgl w:val="false"/>
      <w:suff w:val="tab"/>
      <w:lvlText w:val="%1"/>
      <w:lvlJc w:val="left"/>
      <w:pPr>
        <w:ind w:left="397" w:hanging="397"/>
        <w:tabs>
          <w:tab w:val="num" w:pos="397" w:leader="none"/>
        </w:tabs>
      </w:pPr>
      <w:rPr>
        <w:rFonts w:ascii="Arial" w:hAnsi="Arial"/>
        <w:b w:val="0"/>
        <w:i w:val="0"/>
        <w:sz w:val="24"/>
        <w:szCs w:val="24"/>
      </w:rPr>
    </w:lvl>
    <w:lvl w:ilvl="1">
      <w:start w:val="1"/>
      <w:numFmt w:val="decimal"/>
      <w:isLgl w:val="false"/>
      <w:suff w:val="tab"/>
      <w:lvlText w:val="%1.%2"/>
      <w:lvlJc w:val="left"/>
      <w:pPr>
        <w:ind w:left="851" w:hanging="851"/>
        <w:tabs>
          <w:tab w:val="num" w:pos="567" w:leader="none"/>
        </w:tabs>
      </w:pPr>
      <w:rPr>
        <w:rFonts w:ascii="Arial" w:hAnsi="Arial"/>
        <w:b/>
        <w:i/>
        <w:iCs w:val="0"/>
        <w:strike w:val="0"/>
        <w:vanish w:val="0"/>
        <w:color w:val="000000"/>
        <w:spacing w:val="0"/>
        <w:position w:val="0"/>
        <w:sz w:val="22"/>
        <w:szCs w:val="22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isLgl w:val="false"/>
      <w:suff w:val="tab"/>
      <w:lvlText w:val="%3"/>
      <w:lvlJc w:val="left"/>
      <w:pPr>
        <w:ind w:left="340" w:hanging="340"/>
        <w:tabs>
          <w:tab w:val="num" w:pos="340" w:leader="none"/>
        </w:tabs>
      </w:pPr>
      <w:rPr>
        <w:rFonts w:ascii="Times New Roman" w:hAnsi="Times New Roman"/>
        <w:b/>
        <w:i w:val="0"/>
        <w:caps w:val="0"/>
        <w:smallCaps w:val="0"/>
        <w:strike w:val="0"/>
        <w:vanish w:val="0"/>
        <w:color w:val="000000"/>
        <w:position w:val="0"/>
        <w:sz w:val="24"/>
        <w:szCs w:val="24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isLgl w:val="false"/>
      <w:suff w:val="tab"/>
      <w:lvlText w:val="%1.%2.%3.%4"/>
      <w:lvlJc w:val="left"/>
      <w:pPr>
        <w:ind w:left="864" w:hanging="864"/>
        <w:tabs>
          <w:tab w:val="num" w:pos="864" w:leader="none"/>
        </w:tabs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1008" w:hanging="1008"/>
        <w:tabs>
          <w:tab w:val="num" w:pos="1008" w:leader="none"/>
        </w:tabs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1152" w:hanging="1152"/>
        <w:tabs>
          <w:tab w:val="num" w:pos="1152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1296" w:hanging="1296"/>
        <w:tabs>
          <w:tab w:val="num" w:pos="1296" w:leader="none"/>
        </w:tabs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1440" w:hanging="1440"/>
        <w:tabs>
          <w:tab w:val="num" w:pos="1440" w:leader="none"/>
        </w:tabs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1584" w:hanging="1584"/>
        <w:tabs>
          <w:tab w:val="num" w:pos="1584" w:leader="none"/>
        </w:tabs>
      </w:pPr>
    </w:lvl>
  </w:abstractNum>
  <w:abstractNum w:abstractNumId="2">
    <w:multiLevelType w:val="hybridMultilevel"/>
    <w:lvl w:ilvl="0">
      <w:start w:val="1"/>
      <w:numFmt w:val="decimal"/>
      <w:pStyle w:val="2138"/>
      <w:isLgl w:val="false"/>
      <w:suff w:val="tab"/>
      <w:lvlText w:val="%1"/>
      <w:lvlJc w:val="left"/>
      <w:pPr>
        <w:ind w:left="1566" w:hanging="432"/>
        <w:tabs>
          <w:tab w:val="num" w:pos="1566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ind w:left="1418" w:hanging="284"/>
        <w:tabs>
          <w:tab w:val="num" w:pos="1494" w:leader="none"/>
        </w:tabs>
      </w:pPr>
    </w:lvl>
    <w:lvl w:ilvl="2">
      <w:start w:val="1"/>
      <w:numFmt w:val="decimal"/>
      <w:isLgl w:val="false"/>
      <w:suff w:val="tab"/>
      <w:lvlText w:val="%1.%2.%3"/>
      <w:lvlJc w:val="left"/>
      <w:pPr>
        <w:ind w:left="1854" w:hanging="720"/>
        <w:tabs>
          <w:tab w:val="num" w:pos="1854" w:leader="none"/>
        </w:tabs>
      </w:pPr>
    </w:lvl>
    <w:lvl w:ilvl="3">
      <w:start w:val="1"/>
      <w:numFmt w:val="decimal"/>
      <w:isLgl w:val="false"/>
      <w:suff w:val="tab"/>
      <w:lvlText w:val="%1.%2.%3.%4"/>
      <w:lvlJc w:val="left"/>
      <w:pPr>
        <w:ind w:left="1998" w:hanging="864"/>
        <w:tabs>
          <w:tab w:val="num" w:pos="1998" w:leader="none"/>
        </w:tabs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2142" w:hanging="1008"/>
        <w:tabs>
          <w:tab w:val="num" w:pos="2142" w:leader="none"/>
        </w:tabs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2286" w:hanging="1152"/>
        <w:tabs>
          <w:tab w:val="num" w:pos="2286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2430" w:hanging="1296"/>
        <w:tabs>
          <w:tab w:val="num" w:pos="2430" w:leader="none"/>
        </w:tabs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2574" w:hanging="1440"/>
        <w:tabs>
          <w:tab w:val="num" w:pos="2574" w:leader="none"/>
        </w:tabs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2718" w:hanging="1584"/>
        <w:tabs>
          <w:tab w:val="num" w:pos="2718" w:leader="none"/>
        </w:tabs>
      </w:pPr>
    </w:lvl>
  </w:abstractNum>
  <w:abstractNum w:abstractNumId="3">
    <w:multiLevelType w:val="hybridMultilevel"/>
    <w:lvl w:ilvl="0">
      <w:start w:val="1"/>
      <w:numFmt w:val="decimal"/>
      <w:pStyle w:val="1890"/>
      <w:isLgl w:val="false"/>
      <w:suff w:val="space"/>
      <w:lvlText w:val="%1"/>
      <w:lvlJc w:val="left"/>
      <w:pPr>
        <w:ind w:left="0" w:firstLine="0"/>
        <w:tabs>
          <w:tab w:val="num" w:pos="0" w:leader="none"/>
        </w:tabs>
      </w:pPr>
      <w:rPr>
        <w:i w:val="0"/>
      </w:rPr>
    </w:lvl>
    <w:lvl w:ilvl="1">
      <w:start w:val="3"/>
      <w:numFmt w:val="decimal"/>
      <w:isLgl w:val="false"/>
      <w:suff w:val="tab"/>
      <w:lvlText w:val="3.%2."/>
      <w:lvlJc w:val="left"/>
      <w:pPr>
        <w:ind w:left="-1984" w:firstLine="0"/>
        <w:tabs>
          <w:tab w:val="num" w:pos="0" w:leader="none"/>
        </w:tabs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isLgl w:val="false"/>
      <w:suff w:val="tab"/>
      <w:lvlText w:val="6.%3."/>
      <w:lvlJc w:val="left"/>
      <w:pPr>
        <w:ind w:left="-2758" w:hanging="720"/>
        <w:tabs>
          <w:tab w:val="num" w:pos="0" w:leader="none"/>
        </w:tabs>
      </w:pPr>
      <w:rPr>
        <w:rFonts w:ascii="Arial" w:hAnsi="Arial" w:cs="Arial"/>
        <w:i/>
      </w:rPr>
    </w:lvl>
    <w:lvl w:ilvl="3">
      <w:start w:val="1"/>
      <w:numFmt w:val="decimal"/>
      <w:isLgl w:val="false"/>
      <w:suff w:val="tab"/>
      <w:lvlText w:val="%1.%2.%3.%4"/>
      <w:lvlJc w:val="left"/>
      <w:pPr>
        <w:ind w:left="-2614" w:hanging="864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-2470" w:hanging="1008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-2326" w:hanging="1152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-2182" w:hanging="1296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-2038" w:hanging="144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-1894" w:hanging="1584"/>
        <w:tabs>
          <w:tab w:val="num" w:pos="0" w:leader="none"/>
        </w:tabs>
      </w:pPr>
    </w:lvl>
  </w:abstractNum>
  <w:abstractNum w:abstractNumId="4">
    <w:multiLevelType w:val="hybridMultilevel"/>
    <w:lvl w:ilvl="0">
      <w:start w:val="1"/>
      <w:numFmt w:val="bullet"/>
      <w:pStyle w:val="2146"/>
      <w:isLgl w:val="false"/>
      <w:suff w:val="tab"/>
      <w:lvlText w:val=""/>
      <w:lvlJc w:val="left"/>
      <w:pPr>
        <w:ind w:left="1134" w:hanging="283"/>
        <w:tabs>
          <w:tab w:val="num" w:pos="1134" w:leader="none"/>
        </w:tabs>
      </w:pPr>
      <w:rPr>
        <w:rFonts w:hint="default" w:ascii="Symbol" w:hAnsi="Symbol" w:cs="Symbol"/>
        <w:lang w:val="en-US"/>
      </w:rPr>
    </w:lvl>
    <w:lvl w:ilvl="1">
      <w:start w:val="1"/>
      <w:numFmt w:val="decimal"/>
      <w:pStyle w:val="2147"/>
      <w:isLgl w:val="false"/>
      <w:suff w:val="tab"/>
      <w:lvlText w:val="%2)"/>
      <w:lvlJc w:val="left"/>
      <w:pPr>
        <w:ind w:left="1440" w:hanging="360"/>
        <w:tabs>
          <w:tab w:val="num" w:pos="1440" w:leader="none"/>
        </w:tabs>
      </w:pPr>
      <w:rPr>
        <w:lang w:val="ru-RU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5">
    <w:multiLevelType w:val="hybridMultilevel"/>
    <w:lvl w:ilvl="0">
      <w:start w:val="1"/>
      <w:numFmt w:val="decimal"/>
      <w:pStyle w:val="2153"/>
      <w:isLgl w:val="false"/>
      <w:suff w:val="tab"/>
      <w:lvlText w:val="%1)"/>
      <w:lvlJc w:val="left"/>
      <w:pPr>
        <w:ind w:left="1474" w:hanging="340"/>
        <w:tabs>
          <w:tab w:val="num" w:pos="1474" w:leader="none"/>
        </w:tabs>
      </w:pPr>
    </w:lvl>
    <w:lvl w:ilvl="1">
      <w:start w:val="2"/>
      <w:numFmt w:val="russianLower"/>
      <w:isLgl w:val="false"/>
      <w:suff w:val="tab"/>
      <w:lvlText w:val="%2)"/>
      <w:lvlJc w:val="left"/>
      <w:pPr>
        <w:ind w:left="1211" w:hanging="360"/>
        <w:tabs>
          <w:tab w:val="num" w:pos="1211" w:leader="none"/>
        </w:tabs>
      </w:p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6">
    <w:multiLevelType w:val="hybridMultilevel"/>
    <w:lvl w:ilvl="0">
      <w:start w:val="1"/>
      <w:numFmt w:val="bullet"/>
      <w:pStyle w:val="2154"/>
      <w:isLgl w:val="false"/>
      <w:suff w:val="tab"/>
      <w:lvlText w:val=""/>
      <w:lvlJc w:val="left"/>
      <w:pPr>
        <w:ind w:left="1758" w:hanging="340"/>
        <w:tabs>
          <w:tab w:val="num" w:pos="1758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 w:cs="Symbol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)"/>
      <w:lvlJc w:val="left"/>
      <w:pPr>
        <w:ind w:left="3360" w:hanging="840"/>
        <w:tabs>
          <w:tab w:val="num" w:pos="3360" w:leader="none"/>
        </w:tabs>
      </w:p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7">
    <w:multiLevelType w:val="hybridMultilevel"/>
    <w:lvl w:ilvl="0">
      <w:start w:val="1"/>
      <w:numFmt w:val="bullet"/>
      <w:pStyle w:val="2158"/>
      <w:isLgl w:val="false"/>
      <w:suff w:val="tab"/>
      <w:lvlText w:val=""/>
      <w:lvlJc w:val="left"/>
      <w:pPr>
        <w:ind w:left="1134" w:hanging="283"/>
        <w:tabs>
          <w:tab w:val="num" w:pos="1134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360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576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8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8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8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8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8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8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8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8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8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287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07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27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47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167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887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07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27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28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648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368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088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08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528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248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68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688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6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6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40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12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5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28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0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72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928" w:hanging="360"/>
        <w:tabs>
          <w:tab w:val="num" w:pos="0" w:leader="none"/>
        </w:tabs>
      </w:pPr>
      <w:rPr>
        <w:rFonts w:hint="default" w:ascii="Symbol" w:hAnsi="Symbol" w:cs="Symbol"/>
        <w:color w:val="auto"/>
      </w:rPr>
    </w:lvl>
    <w:lvl w:ilvl="1">
      <w:start w:val="1"/>
      <w:numFmt w:val="lowerLetter"/>
      <w:isLgl w:val="false"/>
      <w:suff w:val="tab"/>
      <w:lvlText w:val="%2."/>
      <w:lvlJc w:val="left"/>
      <w:pPr>
        <w:ind w:left="1866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86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306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4026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746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466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86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906" w:hanging="180"/>
        <w:tabs>
          <w:tab w:val="num" w:pos="0" w:leader="none"/>
        </w:tabs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643" w:hanging="283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440" w:hanging="360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1800" w:hanging="360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2160" w:hanging="360"/>
        <w:tabs>
          <w:tab w:val="num" w:pos="216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2520" w:hanging="360"/>
        <w:tabs>
          <w:tab w:val="num" w:pos="25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2880" w:hanging="360"/>
        <w:tabs>
          <w:tab w:val="num" w:pos="28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3240" w:hanging="360"/>
        <w:tabs>
          <w:tab w:val="num" w:pos="324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3600" w:hanging="360"/>
        <w:tabs>
          <w:tab w:val="num" w:pos="3600" w:leader="none"/>
        </w:tabs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333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053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773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493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13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933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653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373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93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04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724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444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164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84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04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324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044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764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29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360" w:hanging="360"/>
        <w:tabs>
          <w:tab w:val="num" w:pos="0" w:leader="none"/>
        </w:tabs>
      </w:pPr>
    </w:lvl>
    <w:lvl w:ilvl="1">
      <w:start w:val="1"/>
      <w:numFmt w:val="decimal"/>
      <w:isLgl w:val="false"/>
      <w:suff w:val="tab"/>
      <w:lvlText w:val="%1.%2"/>
      <w:lvlJc w:val="left"/>
      <w:pPr>
        <w:ind w:left="927" w:hanging="360"/>
        <w:tabs>
          <w:tab w:val="num" w:pos="0" w:leader="none"/>
        </w:tabs>
      </w:pPr>
    </w:lvl>
    <w:lvl w:ilvl="2">
      <w:start w:val="1"/>
      <w:numFmt w:val="decimal"/>
      <w:isLgl w:val="false"/>
      <w:suff w:val="tab"/>
      <w:lvlText w:val="%1.%2.%3"/>
      <w:lvlJc w:val="left"/>
      <w:pPr>
        <w:ind w:left="1854" w:hanging="72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1.%2.%3.%4"/>
      <w:lvlJc w:val="left"/>
      <w:pPr>
        <w:ind w:left="2421" w:hanging="720"/>
        <w:tabs>
          <w:tab w:val="num" w:pos="0" w:leader="none"/>
        </w:tabs>
      </w:pPr>
    </w:lvl>
    <w:lvl w:ilvl="4">
      <w:start w:val="1"/>
      <w:numFmt w:val="decimal"/>
      <w:isLgl w:val="false"/>
      <w:suff w:val="tab"/>
      <w:lvlText w:val="%1.%2.%3.%4.%5"/>
      <w:lvlJc w:val="left"/>
      <w:pPr>
        <w:ind w:left="3348" w:hanging="1080"/>
        <w:tabs>
          <w:tab w:val="num" w:pos="0" w:leader="none"/>
        </w:tabs>
      </w:pPr>
    </w:lvl>
    <w:lvl w:ilvl="5">
      <w:start w:val="1"/>
      <w:numFmt w:val="decimal"/>
      <w:isLgl w:val="false"/>
      <w:suff w:val="tab"/>
      <w:lvlText w:val="%1.%2.%3.%4.%5.%6"/>
      <w:lvlJc w:val="left"/>
      <w:pPr>
        <w:ind w:left="3915" w:hanging="10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1.%2.%3.%4.%5.%6.%7"/>
      <w:lvlJc w:val="left"/>
      <w:pPr>
        <w:ind w:left="4842" w:hanging="1440"/>
        <w:tabs>
          <w:tab w:val="num" w:pos="0" w:leader="none"/>
        </w:tabs>
      </w:pPr>
    </w:lvl>
    <w:lvl w:ilvl="7">
      <w:start w:val="1"/>
      <w:numFmt w:val="decimal"/>
      <w:isLgl w:val="false"/>
      <w:suff w:val="tab"/>
      <w:lvlText w:val="%1.%2.%3.%4.%5.%6.%7.%8"/>
      <w:lvlJc w:val="left"/>
      <w:pPr>
        <w:ind w:left="5409" w:hanging="1440"/>
        <w:tabs>
          <w:tab w:val="num" w:pos="0" w:leader="none"/>
        </w:tabs>
      </w:pPr>
    </w:lvl>
    <w:lvl w:ilvl="8">
      <w:start w:val="1"/>
      <w:numFmt w:val="decimal"/>
      <w:isLgl w:val="false"/>
      <w:suff w:val="tab"/>
      <w:lvlText w:val="%1.%2.%3.%4.%5.%6.%7.%8.%9"/>
      <w:lvlJc w:val="left"/>
      <w:pPr>
        <w:ind w:left="6336" w:hanging="1800"/>
        <w:tabs>
          <w:tab w:val="num" w:pos="0" w:leader="none"/>
        </w:tabs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  <w:tabs>
          <w:tab w:val="num" w:pos="0" w:leader="none"/>
        </w:tabs>
      </w:p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  <w:tabs>
          <w:tab w:val="num" w:pos="0" w:leader="none"/>
        </w:tabs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443" w:hanging="283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440" w:hanging="360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1800" w:hanging="360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2160" w:hanging="360"/>
        <w:tabs>
          <w:tab w:val="num" w:pos="216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2520" w:hanging="360"/>
        <w:tabs>
          <w:tab w:val="num" w:pos="25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2880" w:hanging="360"/>
        <w:tabs>
          <w:tab w:val="num" w:pos="28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3240" w:hanging="360"/>
        <w:tabs>
          <w:tab w:val="num" w:pos="324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3600" w:hanging="360"/>
        <w:tabs>
          <w:tab w:val="num" w:pos="3600" w:leader="none"/>
        </w:tabs>
      </w:p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443" w:hanging="283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440" w:hanging="360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1800" w:hanging="360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2160" w:hanging="360"/>
        <w:tabs>
          <w:tab w:val="num" w:pos="216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2520" w:hanging="360"/>
        <w:tabs>
          <w:tab w:val="num" w:pos="25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2880" w:hanging="360"/>
        <w:tabs>
          <w:tab w:val="num" w:pos="28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3240" w:hanging="360"/>
        <w:tabs>
          <w:tab w:val="num" w:pos="324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3600" w:hanging="360"/>
        <w:tabs>
          <w:tab w:val="num" w:pos="3600" w:leader="none"/>
        </w:tabs>
      </w:p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443" w:hanging="283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440" w:hanging="360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1800" w:hanging="360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2160" w:hanging="360"/>
        <w:tabs>
          <w:tab w:val="num" w:pos="216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2520" w:hanging="360"/>
        <w:tabs>
          <w:tab w:val="num" w:pos="25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2880" w:hanging="360"/>
        <w:tabs>
          <w:tab w:val="num" w:pos="28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3240" w:hanging="360"/>
        <w:tabs>
          <w:tab w:val="num" w:pos="324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3600" w:hanging="360"/>
        <w:tabs>
          <w:tab w:val="num" w:pos="3600" w:leader="none"/>
        </w:tabs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443" w:hanging="283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440" w:hanging="360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1800" w:hanging="360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2160" w:hanging="360"/>
        <w:tabs>
          <w:tab w:val="num" w:pos="216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2520" w:hanging="360"/>
        <w:tabs>
          <w:tab w:val="num" w:pos="25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2880" w:hanging="360"/>
        <w:tabs>
          <w:tab w:val="num" w:pos="28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3240" w:hanging="360"/>
        <w:tabs>
          <w:tab w:val="num" w:pos="324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3600" w:hanging="360"/>
        <w:tabs>
          <w:tab w:val="num" w:pos="3600" w:leader="none"/>
        </w:tabs>
      </w:p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983" w:hanging="283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440" w:hanging="360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1800" w:hanging="360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2160" w:hanging="360"/>
        <w:tabs>
          <w:tab w:val="num" w:pos="216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2520" w:hanging="360"/>
        <w:tabs>
          <w:tab w:val="num" w:pos="25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2880" w:hanging="360"/>
        <w:tabs>
          <w:tab w:val="num" w:pos="28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3240" w:hanging="360"/>
        <w:tabs>
          <w:tab w:val="num" w:pos="324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3600" w:hanging="360"/>
        <w:tabs>
          <w:tab w:val="num" w:pos="3600" w:leader="none"/>
        </w:tabs>
      </w:p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983" w:hanging="283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440" w:hanging="360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1800" w:hanging="360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2160" w:hanging="360"/>
        <w:tabs>
          <w:tab w:val="num" w:pos="216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2520" w:hanging="360"/>
        <w:tabs>
          <w:tab w:val="num" w:pos="25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2880" w:hanging="360"/>
        <w:tabs>
          <w:tab w:val="num" w:pos="28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3240" w:hanging="360"/>
        <w:tabs>
          <w:tab w:val="num" w:pos="324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3600" w:hanging="360"/>
        <w:tabs>
          <w:tab w:val="num" w:pos="3600" w:leader="none"/>
        </w:tabs>
      </w:p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2983" w:hanging="283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decimal"/>
      <w:isLgl w:val="false"/>
      <w:suff w:val="tab"/>
      <w:lvlText w:val="%2."/>
      <w:lvlJc w:val="left"/>
      <w:pPr>
        <w:ind w:left="1080" w:hanging="360"/>
        <w:tabs>
          <w:tab w:val="num" w:pos="108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1440" w:hanging="360"/>
        <w:tabs>
          <w:tab w:val="num" w:pos="144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1800" w:hanging="360"/>
        <w:tabs>
          <w:tab w:val="num" w:pos="180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2160" w:hanging="360"/>
        <w:tabs>
          <w:tab w:val="num" w:pos="216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2520" w:hanging="360"/>
        <w:tabs>
          <w:tab w:val="num" w:pos="25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2880" w:hanging="360"/>
        <w:tabs>
          <w:tab w:val="num" w:pos="288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3240" w:hanging="360"/>
        <w:tabs>
          <w:tab w:val="num" w:pos="324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3600" w:hanging="360"/>
        <w:tabs>
          <w:tab w:val="num" w:pos="3600" w:leader="none"/>
        </w:tabs>
      </w:p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5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5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5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5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5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047" w:hanging="360"/>
        <w:tabs>
          <w:tab w:val="num" w:pos="0" w:leader="none"/>
        </w:tabs>
      </w:pPr>
      <w:rPr>
        <w:rFonts w:hint="default" w:ascii="Wingdings" w:hAnsi="Wingdings" w:cs="Wingdings"/>
      </w:r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5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6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6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6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  <w:tabs>
          <w:tab w:val="num" w:pos="0" w:leader="none"/>
        </w:tabs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0" w:leader="none"/>
        </w:tabs>
      </w:pPr>
    </w:lvl>
  </w:abstractNum>
  <w:abstractNum w:abstractNumId="63">
    <w:multiLevelType w:val="hybridMultilevel"/>
    <w:lvl w:ilvl="0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20"/>
    <w:lvlOverride w:ilvl="0">
      <w:lvl w:ilvl="0">
        <w:start w:val="1"/>
        <w:numFmt w:val="bullet"/>
        <w:isLgl w:val="false"/>
        <w:suff w:val="tab"/>
        <w:lvlText w:val=""/>
        <w:lvlJc w:val="left"/>
        <w:pPr>
          <w:ind w:left="2443" w:hanging="283"/>
          <w:tabs>
            <w:tab w:val="num" w:pos="0" w:leader="none"/>
          </w:tabs>
        </w:pPr>
        <w:rPr>
          <w:rFonts w:hint="default" w:ascii="Symbol" w:hAnsi="Symbol" w:cs="Symbol"/>
        </w:rPr>
      </w:lvl>
    </w:lvlOverride>
  </w:num>
  <w:num w:numId="66">
    <w:abstractNumId w:val="20"/>
    <w:lvlOverride w:ilvl="0">
      <w:lvl w:ilvl="0">
        <w:start w:val="1"/>
        <w:numFmt w:val="bullet"/>
        <w:isLgl w:val="false"/>
        <w:suff w:val="tab"/>
        <w:lvlText w:val=""/>
        <w:lvlJc w:val="left"/>
        <w:pPr>
          <w:ind w:left="2443" w:hanging="283"/>
          <w:tabs>
            <w:tab w:val="num" w:pos="0" w:leader="none"/>
          </w:tabs>
        </w:pPr>
        <w:rPr>
          <w:rFonts w:hint="default" w:ascii="Symbol" w:hAnsi="Symbol" w:cs="Symbol"/>
        </w:rPr>
      </w:lvl>
    </w:lvlOverride>
  </w:num>
  <w:num w:numId="67">
    <w:abstractNumId w:val="20"/>
    <w:lvlOverride w:ilvl="0">
      <w:lvl w:ilvl="0">
        <w:start w:val="1"/>
        <w:numFmt w:val="bullet"/>
        <w:isLgl w:val="false"/>
        <w:suff w:val="tab"/>
        <w:lvlText w:val=""/>
        <w:lvlJc w:val="left"/>
        <w:pPr>
          <w:ind w:left="2443" w:hanging="283"/>
          <w:tabs>
            <w:tab w:val="num" w:pos="0" w:leader="none"/>
          </w:tabs>
        </w:pPr>
        <w:rPr>
          <w:rFonts w:hint="default" w:ascii="Symbol" w:hAnsi="Symbol" w:cs="Symbol"/>
        </w:rPr>
      </w:lvl>
    </w:lvlOverride>
  </w:num>
  <w:num w:numId="68">
    <w:abstractNumId w:val="20"/>
    <w:lvlOverride w:ilvl="0">
      <w:lvl w:ilvl="0">
        <w:start w:val="1"/>
        <w:numFmt w:val="bullet"/>
        <w:isLgl w:val="false"/>
        <w:suff w:val="tab"/>
        <w:lvlText w:val=""/>
        <w:lvlJc w:val="left"/>
        <w:pPr>
          <w:ind w:left="2443" w:hanging="283"/>
          <w:tabs>
            <w:tab w:val="num" w:pos="0" w:leader="none"/>
          </w:tabs>
        </w:pPr>
        <w:rPr>
          <w:rFonts w:hint="default" w:ascii="Symbol" w:hAnsi="Symbol" w:cs="Symbol"/>
        </w:rPr>
      </w:lvl>
    </w:lvlOverride>
  </w:num>
  <w:num w:numId="69">
    <w:abstractNumId w:val="20"/>
    <w:lvlOverride w:ilvl="0">
      <w:lvl w:ilvl="0">
        <w:start w:val="1"/>
        <w:numFmt w:val="bullet"/>
        <w:isLgl w:val="false"/>
        <w:suff w:val="tab"/>
        <w:lvlText w:val=""/>
        <w:lvlJc w:val="left"/>
        <w:pPr>
          <w:ind w:left="2983" w:hanging="283"/>
          <w:tabs>
            <w:tab w:val="num" w:pos="0" w:leader="none"/>
          </w:tabs>
        </w:pPr>
        <w:rPr>
          <w:rFonts w:hint="default" w:ascii="Symbol" w:hAnsi="Symbol" w:cs="Symbol"/>
        </w:rPr>
      </w:lvl>
    </w:lvlOverride>
  </w:num>
  <w:num w:numId="70">
    <w:abstractNumId w:val="20"/>
    <w:lvlOverride w:ilvl="0">
      <w:lvl w:ilvl="0">
        <w:start w:val="1"/>
        <w:numFmt w:val="bullet"/>
        <w:isLgl w:val="false"/>
        <w:suff w:val="tab"/>
        <w:lvlText w:val=""/>
        <w:lvlJc w:val="left"/>
        <w:pPr>
          <w:ind w:left="2983" w:hanging="283"/>
          <w:tabs>
            <w:tab w:val="num" w:pos="0" w:leader="none"/>
          </w:tabs>
        </w:pPr>
        <w:rPr>
          <w:rFonts w:hint="default" w:ascii="Symbol" w:hAnsi="Symbol" w:cs="Symbol"/>
        </w:rPr>
      </w:lvl>
    </w:lvlOverride>
  </w:num>
  <w:num w:numId="71">
    <w:abstractNumId w:val="20"/>
    <w:lvlOverride w:ilvl="0">
      <w:lvl w:ilvl="0">
        <w:start w:val="1"/>
        <w:numFmt w:val="bullet"/>
        <w:isLgl w:val="false"/>
        <w:suff w:val="tab"/>
        <w:lvlText w:val=""/>
        <w:lvlJc w:val="left"/>
        <w:pPr>
          <w:ind w:left="2983" w:hanging="283"/>
          <w:tabs>
            <w:tab w:val="num" w:pos="0" w:leader="none"/>
          </w:tabs>
        </w:pPr>
        <w:rPr>
          <w:rFonts w:hint="default" w:ascii="Symbol" w:hAnsi="Symbol" w:cs="Symbol"/>
        </w:rPr>
      </w:lvl>
    </w:lvlOverride>
  </w:num>
  <w:num w:numId="72">
    <w:abstractNumId w:val="38"/>
    <w:lvlOverride w:ilvl="0">
      <w:startOverride w:val="1"/>
    </w:lvlOverride>
  </w:num>
  <w:num w:numId="73">
    <w:abstractNumId w:val="38"/>
    <w:lvlOverride w:ilvl="0">
      <w:startOverride w:val="1"/>
    </w:lvlOverride>
  </w:num>
  <w:num w:numId="74">
    <w:abstractNumId w:val="38"/>
    <w:lvlOverride w:ilvl="0">
      <w:startOverride w:val="1"/>
    </w:lvlOverride>
  </w:num>
  <w:num w:numId="75">
    <w:abstractNumId w:val="38"/>
    <w:lvlOverride w:ilvl="0">
      <w:startOverride w:val="1"/>
    </w:lvlOverride>
  </w:num>
  <w:num w:numId="7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7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7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7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8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8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82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8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84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8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86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87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88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8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9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91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lvl w:ilvl="8">
        <w:start w:val="1"/>
        <w:numFmt w:val="bullet"/>
        <w:isLgl w:val="false"/>
        <w:suff w:val="tab"/>
        <w:lvlText w:val=""/>
        <w:lvlJc w:val="left"/>
        <w:pPr>
          <w:ind w:left="7047" w:hanging="360"/>
          <w:tabs>
            <w:tab w:val="num" w:pos="0" w:leader="none"/>
          </w:tabs>
        </w:pPr>
        <w:rPr>
          <w:rFonts w:hint="default" w:ascii="Wingdings" w:hAnsi="Wingdings" w:cs="Wingdings"/>
        </w:rPr>
      </w:lvl>
    </w:lvlOverride>
  </w:num>
  <w:num w:numId="92">
    <w:abstractNumId w:val="58"/>
    <w:lvlOverride w:ilvl="0">
      <w:startOverride w:val="1"/>
    </w:lvlOverride>
  </w:num>
  <w:num w:numId="93">
    <w:abstractNumId w:val="58"/>
  </w:num>
  <w:num w:numId="94">
    <w:abstractNumId w:val="58"/>
  </w:num>
  <w:num w:numId="95">
    <w:abstractNumId w:val="58"/>
  </w:num>
  <w:num w:numId="96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WenQuanYi Micro Hei" w:cs="Lohit Devanagari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888">
    <w:name w:val="No List"/>
    <w:uiPriority w:val="99"/>
    <w:semiHidden/>
    <w:unhideWhenUsed/>
  </w:style>
  <w:style w:type="paragraph" w:styleId="1889" w:default="1">
    <w:name w:val="Normal"/>
    <w:qFormat/>
    <w:pPr>
      <w:jc w:val="left"/>
      <w:spacing w:before="0" w:after="0"/>
      <w:widowControl/>
    </w:pPr>
    <w:rPr>
      <w:rFonts w:ascii="Times New Roman" w:hAnsi="Times New Roman" w:eastAsia="Times New Roman" w:cs="Times New Roman"/>
      <w:color w:val="auto"/>
      <w:sz w:val="20"/>
      <w:szCs w:val="20"/>
      <w:lang w:val="ru-RU" w:eastAsia="ru-RU" w:bidi="ar-SA"/>
    </w:rPr>
  </w:style>
  <w:style w:type="paragraph" w:styleId="1890">
    <w:name w:val="Heading 1"/>
    <w:uiPriority w:val="99"/>
    <w:qFormat/>
    <w:pPr>
      <w:numPr>
        <w:ilvl w:val="0"/>
        <w:numId w:val="4"/>
      </w:numPr>
      <w:jc w:val="center"/>
      <w:keepNext/>
      <w:pageBreakBefore/>
      <w:spacing w:before="240" w:after="240" w:line="300" w:lineRule="exact"/>
      <w:widowControl/>
      <w:outlineLvl w:val="0"/>
    </w:pPr>
    <w:rPr>
      <w:rFonts w:ascii="Arial" w:hAnsi="Arial" w:eastAsia="Times New Roman" w:cs="Times New Roman"/>
      <w:b/>
      <w:caps/>
      <w:color w:val="auto"/>
      <w:spacing w:val="20"/>
      <w:sz w:val="24"/>
      <w:szCs w:val="20"/>
      <w:lang w:val="ru-RU" w:eastAsia="ru-RU" w:bidi="ar-SA"/>
    </w:rPr>
  </w:style>
  <w:style w:type="paragraph" w:styleId="1891">
    <w:name w:val="Heading 2"/>
    <w:qFormat/>
    <w:pPr>
      <w:jc w:val="center"/>
      <w:keepNext/>
      <w:spacing w:before="360" w:after="360" w:line="300" w:lineRule="exact"/>
      <w:widowControl/>
      <w:outlineLvl w:val="1"/>
    </w:pPr>
    <w:rPr>
      <w:rFonts w:ascii="Arial" w:hAnsi="Arial" w:eastAsia="Times New Roman" w:cs="Times New Roman"/>
      <w:b/>
      <w:i/>
      <w:caps/>
      <w:color w:val="auto"/>
      <w:spacing w:val="20"/>
      <w:sz w:val="22"/>
      <w:szCs w:val="20"/>
      <w:lang w:val="ru-RU" w:eastAsia="ru-RU" w:bidi="ar-SA"/>
    </w:rPr>
  </w:style>
  <w:style w:type="paragraph" w:styleId="1892">
    <w:name w:val="Heading 3"/>
    <w:basedOn w:val="1889"/>
    <w:qFormat/>
    <w:pPr>
      <w:ind w:left="170" w:hanging="737"/>
      <w:keepNext/>
      <w:spacing w:before="480" w:after="240" w:line="300" w:lineRule="exact"/>
      <w:outlineLvl w:val="2"/>
    </w:pPr>
    <w:rPr>
      <w:b/>
      <w:caps/>
      <w:spacing w:val="20"/>
      <w:sz w:val="22"/>
    </w:rPr>
  </w:style>
  <w:style w:type="paragraph" w:styleId="1893">
    <w:name w:val="Heading 4"/>
    <w:basedOn w:val="1889"/>
    <w:qFormat/>
    <w:pPr>
      <w:ind w:left="170" w:hanging="737"/>
      <w:keepNext/>
      <w:spacing w:before="480" w:after="240" w:line="300" w:lineRule="exact"/>
      <w:outlineLvl w:val="3"/>
    </w:pPr>
    <w:rPr>
      <w:b/>
      <w:i/>
      <w:caps/>
      <w:sz w:val="22"/>
    </w:rPr>
  </w:style>
  <w:style w:type="paragraph" w:styleId="1894">
    <w:name w:val="Heading 5"/>
    <w:basedOn w:val="1889"/>
    <w:qFormat/>
    <w:pPr>
      <w:spacing w:before="240" w:after="60"/>
      <w:outlineLvl w:val="4"/>
    </w:pPr>
    <w:rPr>
      <w:rFonts w:ascii="Arial" w:hAnsi="Arial"/>
      <w:sz w:val="22"/>
    </w:rPr>
  </w:style>
  <w:style w:type="paragraph" w:styleId="1895">
    <w:name w:val="Heading 6"/>
    <w:basedOn w:val="1889"/>
    <w:qFormat/>
    <w:pPr>
      <w:spacing w:before="240" w:after="60"/>
      <w:outlineLvl w:val="5"/>
    </w:pPr>
    <w:rPr>
      <w:rFonts w:ascii="Arial" w:hAnsi="Arial"/>
      <w:i/>
      <w:sz w:val="22"/>
    </w:rPr>
  </w:style>
  <w:style w:type="paragraph" w:styleId="1896">
    <w:name w:val="Heading 7"/>
    <w:basedOn w:val="1889"/>
    <w:qFormat/>
    <w:pPr>
      <w:spacing w:before="240" w:after="60"/>
      <w:outlineLvl w:val="6"/>
    </w:pPr>
    <w:rPr>
      <w:rFonts w:ascii="Arial" w:hAnsi="Arial"/>
    </w:rPr>
  </w:style>
  <w:style w:type="paragraph" w:styleId="1897">
    <w:name w:val="Heading 8"/>
    <w:basedOn w:val="1889"/>
    <w:qFormat/>
    <w:pPr>
      <w:spacing w:before="240" w:after="60"/>
      <w:outlineLvl w:val="7"/>
    </w:pPr>
    <w:rPr>
      <w:rFonts w:ascii="Arial" w:hAnsi="Arial"/>
      <w:i/>
    </w:rPr>
  </w:style>
  <w:style w:type="paragraph" w:styleId="1898">
    <w:name w:val="Heading 9"/>
    <w:basedOn w:val="1889"/>
    <w:qFormat/>
    <w:pPr>
      <w:spacing w:before="240" w:after="60"/>
      <w:outlineLvl w:val="8"/>
    </w:pPr>
    <w:rPr>
      <w:rFonts w:ascii="Arial" w:hAnsi="Arial"/>
      <w:i/>
      <w:sz w:val="18"/>
    </w:rPr>
  </w:style>
  <w:style w:type="character" w:styleId="1899">
    <w:name w:val="Heading 1 Char"/>
    <w:basedOn w:val="1919"/>
    <w:uiPriority w:val="9"/>
    <w:qFormat/>
    <w:rPr>
      <w:rFonts w:ascii="Arial" w:hAnsi="Arial" w:eastAsia="Arial" w:cs="Arial"/>
      <w:sz w:val="40"/>
      <w:szCs w:val="40"/>
    </w:rPr>
  </w:style>
  <w:style w:type="character" w:styleId="1900">
    <w:name w:val="Heading 2 Char"/>
    <w:basedOn w:val="1919"/>
    <w:uiPriority w:val="9"/>
    <w:qFormat/>
    <w:rPr>
      <w:rFonts w:ascii="Arial" w:hAnsi="Arial" w:eastAsia="Arial" w:cs="Arial"/>
      <w:sz w:val="34"/>
    </w:rPr>
  </w:style>
  <w:style w:type="character" w:styleId="1901">
    <w:name w:val="Heading 3 Char"/>
    <w:basedOn w:val="1919"/>
    <w:uiPriority w:val="9"/>
    <w:qFormat/>
    <w:rPr>
      <w:rFonts w:ascii="Arial" w:hAnsi="Arial" w:eastAsia="Arial" w:cs="Arial"/>
      <w:sz w:val="30"/>
      <w:szCs w:val="30"/>
    </w:rPr>
  </w:style>
  <w:style w:type="character" w:styleId="1902">
    <w:name w:val="Heading 4 Char"/>
    <w:basedOn w:val="1919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1903">
    <w:name w:val="Heading 5 Char"/>
    <w:basedOn w:val="1919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1904">
    <w:name w:val="Heading 6 Char"/>
    <w:basedOn w:val="1919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1905">
    <w:name w:val="Heading 7 Char"/>
    <w:basedOn w:val="1919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1906">
    <w:name w:val="Heading 8 Char"/>
    <w:basedOn w:val="1919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1907">
    <w:name w:val="Heading 9 Char"/>
    <w:basedOn w:val="1919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1908">
    <w:name w:val="Title Char"/>
    <w:basedOn w:val="1919"/>
    <w:uiPriority w:val="10"/>
    <w:qFormat/>
    <w:rPr>
      <w:sz w:val="48"/>
      <w:szCs w:val="48"/>
    </w:rPr>
  </w:style>
  <w:style w:type="character" w:styleId="1909">
    <w:name w:val="Subtitle Char"/>
    <w:basedOn w:val="1919"/>
    <w:uiPriority w:val="11"/>
    <w:qFormat/>
    <w:rPr>
      <w:sz w:val="24"/>
      <w:szCs w:val="24"/>
    </w:rPr>
  </w:style>
  <w:style w:type="character" w:styleId="1910">
    <w:name w:val="Quote Char"/>
    <w:uiPriority w:val="29"/>
    <w:qFormat/>
    <w:rPr>
      <w:i/>
    </w:rPr>
  </w:style>
  <w:style w:type="character" w:styleId="1911">
    <w:name w:val="Intense Quote Char"/>
    <w:uiPriority w:val="30"/>
    <w:qFormat/>
    <w:rPr>
      <w:i/>
    </w:rPr>
  </w:style>
  <w:style w:type="character" w:styleId="1912">
    <w:name w:val="Header Char"/>
    <w:basedOn w:val="1919"/>
    <w:uiPriority w:val="99"/>
    <w:qFormat/>
  </w:style>
  <w:style w:type="character" w:styleId="1913">
    <w:name w:val="Footer Char"/>
    <w:basedOn w:val="1919"/>
    <w:uiPriority w:val="99"/>
    <w:qFormat/>
  </w:style>
  <w:style w:type="character" w:styleId="1914">
    <w:name w:val="Caption Char"/>
    <w:uiPriority w:val="99"/>
    <w:qFormat/>
  </w:style>
  <w:style w:type="character" w:styleId="1915">
    <w:name w:val="Footnote Text Char"/>
    <w:uiPriority w:val="99"/>
    <w:qFormat/>
    <w:rPr>
      <w:sz w:val="18"/>
    </w:rPr>
  </w:style>
  <w:style w:type="character" w:styleId="1916">
    <w:name w:val="Endnote Text Char"/>
    <w:uiPriority w:val="99"/>
    <w:qFormat/>
    <w:rPr>
      <w:sz w:val="20"/>
    </w:rPr>
  </w:style>
  <w:style w:type="character" w:styleId="191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1918">
    <w:name w:val="endnote reference"/>
    <w:rPr>
      <w:vertAlign w:val="superscript"/>
    </w:rPr>
  </w:style>
  <w:style w:type="character" w:styleId="1919" w:default="1">
    <w:name w:val="Default Paragraph Font"/>
    <w:uiPriority w:val="1"/>
    <w:semiHidden/>
    <w:unhideWhenUsed/>
    <w:qFormat/>
  </w:style>
  <w:style w:type="character" w:styleId="1920" w:customStyle="1">
    <w:name w:val="Основной текст Знак2"/>
    <w:qFormat/>
    <w:rPr>
      <w:sz w:val="24"/>
      <w:lang w:val="ru-RU" w:eastAsia="ru-RU" w:bidi="ar-SA"/>
    </w:rPr>
  </w:style>
  <w:style w:type="character" w:styleId="1921">
    <w:name w:val="HTML Sample"/>
    <w:qFormat/>
    <w:rPr>
      <w:rFonts w:ascii="Courier New" w:hAnsi="Courier New" w:cs="Courier New"/>
    </w:rPr>
  </w:style>
  <w:style w:type="character" w:styleId="1922">
    <w:name w:val="page number"/>
    <w:qFormat/>
    <w:rPr>
      <w:rFonts w:ascii="Times New Roman" w:hAnsi="Times New Roman"/>
      <w:position w:val="0"/>
      <w:sz w:val="24"/>
      <w:vertAlign w:val="baseline"/>
    </w:rPr>
  </w:style>
  <w:style w:type="character" w:styleId="1923" w:customStyle="1">
    <w:name w:val="Основной текст Знак"/>
    <w:qFormat/>
    <w:rPr>
      <w:sz w:val="24"/>
      <w:szCs w:val="24"/>
      <w:lang w:val="ru-RU" w:eastAsia="ru-RU" w:bidi="ar-SA"/>
    </w:rPr>
  </w:style>
  <w:style w:type="character" w:styleId="1924" w:customStyle="1">
    <w:name w:val="Основной перечень Знак"/>
    <w:basedOn w:val="1923"/>
    <w:qFormat/>
    <w:rPr>
      <w:sz w:val="24"/>
      <w:szCs w:val="24"/>
      <w:lang w:val="ru-RU" w:eastAsia="ru-RU" w:bidi="ar-SA"/>
    </w:rPr>
  </w:style>
  <w:style w:type="character" w:styleId="1925" w:customStyle="1">
    <w:name w:val="Маркированный список Знак2"/>
    <w:qFormat/>
    <w:rPr>
      <w:sz w:val="24"/>
      <w:lang w:val="ru-RU" w:eastAsia="ru-RU" w:bidi="ar-SA"/>
    </w:rPr>
  </w:style>
  <w:style w:type="character" w:styleId="1926" w:customStyle="1">
    <w:name w:val="таблица n Знак"/>
    <w:qFormat/>
    <w:rPr>
      <w:rFonts w:ascii="Arial" w:hAnsi="Arial"/>
      <w:b/>
      <w:spacing w:val="10"/>
      <w:sz w:val="24"/>
      <w:lang w:val="en-US" w:eastAsia="ru-RU" w:bidi="ar-SA"/>
    </w:rPr>
  </w:style>
  <w:style w:type="character" w:styleId="1927" w:customStyle="1">
    <w:name w:val="Iniiaiie oaeno Ciae Ciae Знак Знак Знак Знак Знак Знак Знак Знак Знак Знак Знак Знак Знак Знак Знак Знак"/>
    <w:qFormat/>
    <w:rPr>
      <w:rFonts w:ascii="Arial" w:hAnsi="Arial"/>
      <w:sz w:val="24"/>
      <w:lang w:val="ru-RU" w:eastAsia="ru-RU" w:bidi="ar-SA"/>
    </w:rPr>
  </w:style>
  <w:style w:type="character" w:styleId="1928" w:customStyle="1">
    <w:name w:val="Маркированный список 1 Знак Знак"/>
    <w:qFormat/>
    <w:rPr>
      <w:sz w:val="24"/>
      <w:szCs w:val="24"/>
      <w:lang w:val="ru-RU" w:eastAsia="ru-RU" w:bidi="ar-SA"/>
    </w:rPr>
  </w:style>
  <w:style w:type="character" w:styleId="1929" w:customStyle="1">
    <w:name w:val="Табл. основн.12 Знак"/>
    <w:qFormat/>
    <w:rPr>
      <w:sz w:val="24"/>
      <w:lang w:val="ru-RU" w:eastAsia="ru-RU" w:bidi="ar-SA"/>
    </w:rPr>
  </w:style>
  <w:style w:type="character" w:styleId="1930" w:customStyle="1">
    <w:name w:val="n и имя таблицы Знак"/>
    <w:qFormat/>
    <w:rPr>
      <w:b/>
      <w:spacing w:val="10"/>
      <w:sz w:val="24"/>
      <w:szCs w:val="24"/>
      <w:lang w:val="ru-RU" w:eastAsia="ru-RU" w:bidi="ar-SA"/>
    </w:rPr>
  </w:style>
  <w:style w:type="character" w:styleId="1931">
    <w:name w:val="Hyperlink"/>
    <w:uiPriority w:val="99"/>
    <w:rPr>
      <w:color w:val="0000ff"/>
      <w:u w:val="single"/>
    </w:rPr>
  </w:style>
  <w:style w:type="character" w:styleId="1932">
    <w:name w:val="FollowedHyperlink"/>
    <w:rPr>
      <w:color w:val="800080"/>
      <w:u w:val="single"/>
    </w:rPr>
  </w:style>
  <w:style w:type="character" w:styleId="1933" w:customStyle="1">
    <w:name w:val="Знак Знак2"/>
    <w:qFormat/>
    <w:rPr>
      <w:b/>
      <w:caps/>
      <w:spacing w:val="20"/>
      <w:sz w:val="22"/>
      <w:lang w:val="ru-RU" w:eastAsia="ru-RU" w:bidi="ar-SA"/>
    </w:rPr>
  </w:style>
  <w:style w:type="character" w:styleId="1934" w:customStyle="1">
    <w:name w:val="Табл. основн.12 Знак Знак Знак Знак Знак Знак Знак Знак Знак Знак"/>
    <w:qFormat/>
    <w:rPr>
      <w:sz w:val="24"/>
      <w:lang w:val="ru-RU" w:eastAsia="ru-RU" w:bidi="ar-SA"/>
    </w:rPr>
  </w:style>
  <w:style w:type="character" w:styleId="1935" w:customStyle="1">
    <w:name w:val="Маркированный список Знак"/>
    <w:qFormat/>
    <w:rPr>
      <w:sz w:val="24"/>
      <w:szCs w:val="24"/>
      <w:lang w:val="ru-RU" w:eastAsia="ru-RU" w:bidi="ar-SA"/>
    </w:rPr>
  </w:style>
  <w:style w:type="character" w:styleId="1936" w:customStyle="1">
    <w:name w:val="Основной текст Знак Знак"/>
    <w:qFormat/>
    <w:rPr>
      <w:sz w:val="24"/>
      <w:lang w:val="ru-RU" w:eastAsia="ru-RU" w:bidi="ar-SA"/>
    </w:rPr>
  </w:style>
  <w:style w:type="character" w:styleId="1937" w:customStyle="1">
    <w:name w:val="Основной текст с отступом Знак Знак Знак Знак Знак Знак"/>
    <w:qFormat/>
    <w:rPr>
      <w:sz w:val="24"/>
      <w:szCs w:val="24"/>
      <w:lang w:val="ru-RU" w:eastAsia="ru-RU" w:bidi="ar-SA"/>
    </w:rPr>
  </w:style>
  <w:style w:type="character" w:styleId="1938" w:customStyle="1">
    <w:name w:val="Маркированный список Знак Знак Знак Знак Знак Знак Знак Знак"/>
    <w:qFormat/>
    <w:rPr>
      <w:sz w:val="24"/>
      <w:lang w:val="ru-RU" w:eastAsia="ru-RU" w:bidi="ar-SA"/>
    </w:rPr>
  </w:style>
  <w:style w:type="character" w:styleId="1939" w:customStyle="1">
    <w:name w:val="Маркированный список Знак1"/>
    <w:qFormat/>
    <w:rPr>
      <w:sz w:val="24"/>
      <w:szCs w:val="24"/>
      <w:lang w:val="ru-RU" w:eastAsia="ru-RU" w:bidi="ar-SA"/>
    </w:rPr>
  </w:style>
  <w:style w:type="character" w:styleId="1940">
    <w:name w:val="Strong"/>
    <w:qFormat/>
    <w:rPr>
      <w:b/>
      <w:bCs/>
    </w:rPr>
  </w:style>
  <w:style w:type="character" w:styleId="1941" w:customStyle="1">
    <w:name w:val="Табл. основн.12 Знак Знак"/>
    <w:qFormat/>
    <w:rPr>
      <w:rFonts w:ascii="Arial" w:hAnsi="Arial"/>
      <w:sz w:val="24"/>
      <w:lang w:val="ru-RU" w:eastAsia="ru-RU" w:bidi="ar-SA"/>
    </w:rPr>
  </w:style>
  <w:style w:type="character" w:styleId="1942" w:customStyle="1">
    <w:name w:val="n и имя таблицы Знак Знак"/>
    <w:qFormat/>
    <w:rPr>
      <w:rFonts w:ascii="Arial" w:hAnsi="Arial"/>
      <w:b/>
      <w:spacing w:val="10"/>
      <w:sz w:val="24"/>
      <w:lang w:val="ru-RU" w:eastAsia="ru-RU" w:bidi="ar-SA"/>
    </w:rPr>
  </w:style>
  <w:style w:type="character" w:styleId="1943" w:customStyle="1">
    <w:name w:val="имя таблицы Знак Знак"/>
    <w:qFormat/>
    <w:rPr>
      <w:b/>
      <w:sz w:val="24"/>
      <w:lang w:val="en-US" w:eastAsia="ru-RU" w:bidi="ar-SA"/>
    </w:rPr>
  </w:style>
  <w:style w:type="character" w:styleId="1944" w:customStyle="1">
    <w:name w:val="Основной текст 1 Знак"/>
    <w:qFormat/>
    <w:rPr>
      <w:sz w:val="24"/>
      <w:szCs w:val="24"/>
      <w:lang w:val="ru-RU" w:eastAsia="ru-RU" w:bidi="ar-SA"/>
    </w:rPr>
  </w:style>
  <w:style w:type="character" w:styleId="1945" w:customStyle="1">
    <w:name w:val="Основной текст с отступом Знак Знак Знак"/>
    <w:qFormat/>
    <w:rPr>
      <w:rFonts w:ascii="Arial" w:hAnsi="Arial" w:cs="Arial"/>
      <w:sz w:val="22"/>
      <w:szCs w:val="22"/>
      <w:lang w:val="ru-RU" w:eastAsia="ru-RU" w:bidi="ar-SA"/>
    </w:rPr>
  </w:style>
  <w:style w:type="character" w:styleId="1946" w:customStyle="1">
    <w:name w:val="Заголовок3 Знак Знак"/>
    <w:qFormat/>
    <w:rPr>
      <w:rFonts w:ascii="Arial" w:hAnsi="Arial" w:cs="Arial"/>
      <w:b/>
      <w:bCs/>
      <w:sz w:val="24"/>
      <w:szCs w:val="26"/>
      <w:lang w:val="ru-RU" w:eastAsia="ru-RU" w:bidi="ar-SA"/>
    </w:rPr>
  </w:style>
  <w:style w:type="character" w:styleId="1947" w:customStyle="1">
    <w:name w:val="Маркеры списка"/>
    <w:qFormat/>
    <w:rPr>
      <w:rFonts w:ascii="StarSymbol" w:hAnsi="StarSymbol" w:eastAsia="StarSymbol" w:cs="Courier New"/>
      <w:sz w:val="18"/>
      <w:szCs w:val="18"/>
    </w:rPr>
  </w:style>
  <w:style w:type="character" w:styleId="1948">
    <w:name w:val="line number"/>
    <w:qFormat/>
  </w:style>
  <w:style w:type="character" w:styleId="1949" w:customStyle="1">
    <w:name w:val="Заголовок4 Знак Знак"/>
    <w:qFormat/>
    <w:rPr>
      <w:rFonts w:ascii="Arial" w:hAnsi="Arial" w:cs="Arial"/>
      <w:b/>
      <w:sz w:val="22"/>
      <w:szCs w:val="22"/>
      <w:lang w:val="ru-RU" w:eastAsia="ru-RU" w:bidi="ar-SA"/>
    </w:rPr>
  </w:style>
  <w:style w:type="character" w:styleId="1950" w:customStyle="1">
    <w:name w:val="Заголовок 2 Знак"/>
    <w:qFormat/>
    <w:rPr>
      <w:rFonts w:ascii="Arial" w:hAnsi="Arial" w:cs="Arial"/>
      <w:b/>
      <w:bCs/>
      <w:iCs/>
      <w:caps/>
      <w:sz w:val="22"/>
      <w:szCs w:val="28"/>
      <w:lang w:val="ru-RU" w:eastAsia="ru-RU" w:bidi="ar-SA"/>
    </w:rPr>
  </w:style>
  <w:style w:type="character" w:styleId="1951" w:customStyle="1">
    <w:name w:val="Основной текст с отступом 2 Знак"/>
    <w:qFormat/>
    <w:rPr>
      <w:lang w:val="ru-RU" w:eastAsia="ru-RU" w:bidi="ar-SA"/>
    </w:rPr>
  </w:style>
  <w:style w:type="character" w:styleId="1952" w:customStyle="1">
    <w:name w:val="Основной текст.Iniiaiie oaeno Ciae Ciae.Основной текст Знак Знак Знак"/>
    <w:qFormat/>
    <w:rPr>
      <w:sz w:val="24"/>
      <w:szCs w:val="24"/>
      <w:lang w:val="ru-RU" w:eastAsia="ru-RU" w:bidi="ar-SA"/>
    </w:rPr>
  </w:style>
  <w:style w:type="character" w:styleId="1953" w:customStyle="1">
    <w:name w:val="Основной текст.Основной текст Знак Знак.Iniiaiie oaeno Ciae Ciae Знак"/>
    <w:qFormat/>
    <w:rPr>
      <w:sz w:val="24"/>
      <w:lang w:val="ru-RU" w:eastAsia="ru-RU" w:bidi="ar-SA"/>
    </w:rPr>
  </w:style>
  <w:style w:type="character" w:styleId="1954" w:customStyle="1">
    <w:name w:val="Основной текст Знак1"/>
    <w:qFormat/>
    <w:rPr>
      <w:sz w:val="28"/>
      <w:lang w:val="ru-RU" w:eastAsia="ru-RU" w:bidi="ar-SA"/>
    </w:rPr>
  </w:style>
  <w:style w:type="character" w:styleId="1955" w:customStyle="1">
    <w:name w:val="Заголовок 1 Знак1"/>
    <w:uiPriority w:val="99"/>
    <w:qFormat/>
    <w:rPr>
      <w:rFonts w:ascii="Arial" w:hAnsi="Arial"/>
      <w:b/>
      <w:caps/>
      <w:spacing w:val="20"/>
      <w:sz w:val="24"/>
    </w:rPr>
  </w:style>
  <w:style w:type="character" w:styleId="1956" w:customStyle="1">
    <w:name w:val="Основной текст Знак Знак Знак Знак1"/>
    <w:semiHidden/>
    <w:qFormat/>
    <w:rPr>
      <w:sz w:val="24"/>
      <w:lang w:val="ru-RU" w:eastAsia="ru-RU" w:bidi="ar-SA"/>
    </w:rPr>
  </w:style>
  <w:style w:type="character" w:styleId="1957" w:customStyle="1">
    <w:name w:val="Верхний колонтитул Знак"/>
    <w:uiPriority w:val="99"/>
    <w:qFormat/>
    <w:rPr>
      <w:sz w:val="22"/>
      <w:lang w:val="ru-RU" w:eastAsia="ru-RU" w:bidi="ar-SA"/>
    </w:rPr>
  </w:style>
  <w:style w:type="character" w:styleId="1958" w:customStyle="1">
    <w:name w:val="Body Text Char"/>
    <w:qFormat/>
    <w:rPr>
      <w:sz w:val="24"/>
      <w:szCs w:val="24"/>
      <w:lang w:val="ru-RU" w:eastAsia="ru-RU" w:bidi="ar-SA"/>
    </w:rPr>
  </w:style>
  <w:style w:type="character" w:styleId="1959" w:customStyle="1">
    <w:name w:val="Нижний колонтитул Знак"/>
    <w:uiPriority w:val="99"/>
    <w:qFormat/>
    <w:rPr>
      <w:lang w:val="ru-RU" w:eastAsia="ru-RU" w:bidi="ar-SA"/>
    </w:rPr>
  </w:style>
  <w:style w:type="character" w:styleId="1960" w:customStyle="1">
    <w:name w:val="Основной текст Знак Знак Знак Знак2"/>
    <w:semiHidden/>
    <w:qFormat/>
    <w:rPr>
      <w:sz w:val="24"/>
      <w:lang w:val="ru-RU" w:eastAsia="ru-RU" w:bidi="ar-SA"/>
    </w:rPr>
  </w:style>
  <w:style w:type="character" w:styleId="1961" w:customStyle="1">
    <w:name w:val="Текст выноски Знак"/>
    <w:uiPriority w:val="99"/>
    <w:semiHidden/>
    <w:qFormat/>
    <w:rPr>
      <w:rFonts w:ascii="Tahoma" w:hAnsi="Tahoma" w:cs="Tahoma"/>
      <w:sz w:val="16"/>
      <w:szCs w:val="16"/>
      <w:lang w:val="ru-RU" w:eastAsia="ru-RU" w:bidi="ar-SA"/>
    </w:rPr>
  </w:style>
  <w:style w:type="character" w:styleId="1962">
    <w:name w:val="annotation reference"/>
    <w:uiPriority w:val="99"/>
    <w:qFormat/>
    <w:rPr>
      <w:sz w:val="16"/>
      <w:szCs w:val="16"/>
    </w:rPr>
  </w:style>
  <w:style w:type="character" w:styleId="1963" w:customStyle="1">
    <w:name w:val="Текст примечания Знак"/>
    <w:uiPriority w:val="99"/>
    <w:qFormat/>
    <w:rPr>
      <w:lang w:val="ru-RU" w:eastAsia="ru-RU" w:bidi="ar-SA"/>
    </w:rPr>
  </w:style>
  <w:style w:type="character" w:styleId="1964" w:customStyle="1">
    <w:name w:val="Список Знак"/>
    <w:qFormat/>
    <w:rPr>
      <w:sz w:val="24"/>
      <w:lang w:val="ru-RU" w:eastAsia="ru-RU" w:bidi="ar-SA"/>
    </w:rPr>
  </w:style>
  <w:style w:type="character" w:styleId="1965" w:customStyle="1">
    <w:name w:val="Заголовок 1 Знак"/>
    <w:uiPriority w:val="99"/>
    <w:qFormat/>
    <w:rPr>
      <w:rFonts w:ascii="Arial" w:hAnsi="Arial"/>
      <w:b/>
      <w:caps/>
      <w:spacing w:val="20"/>
      <w:sz w:val="24"/>
      <w:lang w:val="ru-RU" w:eastAsia="ru-RU" w:bidi="ar-SA"/>
    </w:rPr>
  </w:style>
  <w:style w:type="character" w:styleId="1966" w:customStyle="1">
    <w:name w:val="Маркированный список Знак3"/>
    <w:qFormat/>
    <w:rPr>
      <w:sz w:val="24"/>
      <w:lang w:val="ru-RU" w:eastAsia="ru-RU" w:bidi="ar-SA"/>
    </w:rPr>
  </w:style>
  <w:style w:type="character" w:styleId="1967" w:customStyle="1">
    <w:name w:val="Заголовок 5 Знак"/>
    <w:qFormat/>
    <w:rPr>
      <w:rFonts w:ascii="Arial" w:hAnsi="Arial"/>
      <w:sz w:val="22"/>
    </w:rPr>
  </w:style>
  <w:style w:type="character" w:styleId="1968" w:customStyle="1">
    <w:name w:val="Подзаголовок Знак"/>
    <w:qFormat/>
    <w:rPr>
      <w:b/>
    </w:rPr>
  </w:style>
  <w:style w:type="character" w:styleId="1969" w:customStyle="1">
    <w:name w:val="Абзац Знак"/>
    <w:qFormat/>
    <w:rPr>
      <w:rFonts w:cs="Arial"/>
      <w:sz w:val="24"/>
      <w:szCs w:val="26"/>
    </w:rPr>
  </w:style>
  <w:style w:type="character" w:styleId="1970" w:customStyle="1">
    <w:name w:val="Заголовок 3 Знак"/>
    <w:qFormat/>
    <w:rPr>
      <w:b/>
      <w:caps/>
      <w:spacing w:val="20"/>
      <w:sz w:val="22"/>
    </w:rPr>
  </w:style>
  <w:style w:type="character" w:styleId="1971" w:customStyle="1">
    <w:name w:val="Таблица 1+ Знак"/>
    <w:qFormat/>
    <w:rPr>
      <w:sz w:val="24"/>
      <w:szCs w:val="26"/>
    </w:rPr>
  </w:style>
  <w:style w:type="character" w:styleId="1972" w:customStyle="1">
    <w:name w:val="Основной текст_"/>
    <w:qFormat/>
    <w:rPr>
      <w:sz w:val="23"/>
      <w:szCs w:val="23"/>
      <w:shd w:val="clear" w:color="auto" w:fill="ffffff"/>
    </w:rPr>
  </w:style>
  <w:style w:type="character" w:styleId="1973" w:customStyle="1">
    <w:name w:val="Основной текст + 9 pt;Полужирный"/>
    <w:qFormat/>
    <w:rPr>
      <w:rFonts w:ascii="Times New Roman" w:hAnsi="Times New Roman" w:eastAsia="Times New Roman" w:cs="Times New Roman"/>
      <w:b/>
      <w:bCs/>
      <w:color w:val="000000"/>
      <w:spacing w:val="0"/>
      <w:sz w:val="18"/>
      <w:szCs w:val="18"/>
      <w:shd w:val="clear" w:color="auto" w:fill="ffffff"/>
      <w:lang w:val="ru-RU" w:eastAsia="ru-RU" w:bidi="ru-RU"/>
    </w:rPr>
  </w:style>
  <w:style w:type="character" w:styleId="1974">
    <w:name w:val="Emphasis"/>
    <w:qFormat/>
    <w:rPr>
      <w:i/>
      <w:iCs/>
    </w:rPr>
  </w:style>
  <w:style w:type="character" w:styleId="1975" w:customStyle="1">
    <w:name w:val="Тема примечания Знак"/>
    <w:basedOn w:val="1963"/>
    <w:uiPriority w:val="99"/>
    <w:qFormat/>
    <w:rPr>
      <w:b/>
      <w:bCs/>
      <w:lang w:val="ru-RU" w:eastAsia="ru-RU" w:bidi="ar-SA"/>
    </w:rPr>
  </w:style>
  <w:style w:type="character" w:styleId="1976" w:customStyle="1">
    <w:name w:val="labelinfo"/>
    <w:qFormat/>
    <w:rPr>
      <w:rFonts w:ascii="Arial" w:hAnsi="Arial" w:cs="Arial"/>
      <w:sz w:val="18"/>
      <w:szCs w:val="18"/>
    </w:rPr>
  </w:style>
  <w:style w:type="character" w:styleId="1977" w:customStyle="1">
    <w:name w:val="Заголовок 4 Знак"/>
    <w:basedOn w:val="1919"/>
    <w:qFormat/>
    <w:rPr>
      <w:b/>
      <w:i/>
      <w:caps/>
      <w:sz w:val="22"/>
    </w:rPr>
  </w:style>
  <w:style w:type="character" w:styleId="1978" w:customStyle="1">
    <w:name w:val="Заголовок 6 Знак"/>
    <w:basedOn w:val="1919"/>
    <w:qFormat/>
    <w:rPr>
      <w:rFonts w:ascii="Arial" w:hAnsi="Arial"/>
      <w:i/>
      <w:sz w:val="22"/>
    </w:rPr>
  </w:style>
  <w:style w:type="character" w:styleId="1979" w:customStyle="1">
    <w:name w:val="Заголовок 7 Знак"/>
    <w:basedOn w:val="1919"/>
    <w:qFormat/>
    <w:rPr>
      <w:rFonts w:ascii="Arial" w:hAnsi="Arial"/>
    </w:rPr>
  </w:style>
  <w:style w:type="character" w:styleId="1980" w:customStyle="1">
    <w:name w:val="Заголовок 8 Знак"/>
    <w:basedOn w:val="1919"/>
    <w:qFormat/>
    <w:rPr>
      <w:rFonts w:ascii="Arial" w:hAnsi="Arial"/>
      <w:i/>
    </w:rPr>
  </w:style>
  <w:style w:type="character" w:styleId="1981" w:customStyle="1">
    <w:name w:val="Заголовок 9 Знак"/>
    <w:basedOn w:val="1919"/>
    <w:qFormat/>
    <w:rPr>
      <w:rFonts w:ascii="Arial" w:hAnsi="Arial"/>
      <w:i/>
      <w:sz w:val="18"/>
    </w:rPr>
  </w:style>
  <w:style w:type="character" w:styleId="1982" w:customStyle="1">
    <w:name w:val="Текст сноски Знак"/>
    <w:basedOn w:val="1919"/>
    <w:uiPriority w:val="99"/>
    <w:semiHidden/>
    <w:qFormat/>
  </w:style>
  <w:style w:type="character" w:styleId="1983" w:customStyle="1">
    <w:name w:val="Основной текст с отступом Знак"/>
    <w:basedOn w:val="1919"/>
    <w:qFormat/>
  </w:style>
  <w:style w:type="character" w:styleId="1984" w:customStyle="1">
    <w:name w:val="Основной текст 3 Знак"/>
    <w:basedOn w:val="1919"/>
    <w:qFormat/>
    <w:rPr>
      <w:sz w:val="16"/>
      <w:szCs w:val="16"/>
    </w:rPr>
  </w:style>
  <w:style w:type="character" w:styleId="1985" w:customStyle="1">
    <w:name w:val="Основной текст 2 Знак"/>
    <w:basedOn w:val="1919"/>
    <w:qFormat/>
    <w:rPr>
      <w:rFonts w:ascii="Arial" w:hAnsi="Arial"/>
    </w:rPr>
  </w:style>
  <w:style w:type="character" w:styleId="1986" w:customStyle="1">
    <w:name w:val="Название Знак"/>
    <w:basedOn w:val="1919"/>
    <w:qFormat/>
    <w:rPr>
      <w:rFonts w:eastAsia="Lucida Sans Unicode" w:cs="Arial Unicode MS"/>
      <w:sz w:val="28"/>
      <w:szCs w:val="28"/>
    </w:rPr>
  </w:style>
  <w:style w:type="character" w:styleId="1987" w:customStyle="1">
    <w:name w:val="Текст Знак"/>
    <w:basedOn w:val="1919"/>
    <w:uiPriority w:val="99"/>
    <w:qFormat/>
    <w:rPr>
      <w:rFonts w:ascii="Courier New" w:hAnsi="Courier New"/>
    </w:rPr>
  </w:style>
  <w:style w:type="character" w:styleId="1988" w:customStyle="1">
    <w:name w:val="Font Style14"/>
    <w:basedOn w:val="1919"/>
    <w:uiPriority w:val="99"/>
    <w:qFormat/>
    <w:rPr>
      <w:rFonts w:ascii="Times New Roman" w:hAnsi="Times New Roman" w:cs="Times New Roman"/>
      <w:color w:val="000000"/>
      <w:sz w:val="22"/>
      <w:szCs w:val="22"/>
    </w:rPr>
  </w:style>
  <w:style w:type="character" w:styleId="1989" w:customStyle="1">
    <w:name w:val="Font Style15"/>
    <w:basedOn w:val="1919"/>
    <w:uiPriority w:val="99"/>
    <w:qFormat/>
    <w:rPr>
      <w:rFonts w:ascii="Times New Roman" w:hAnsi="Times New Roman" w:cs="Times New Roman"/>
      <w:color w:val="000000"/>
      <w:sz w:val="20"/>
      <w:szCs w:val="20"/>
    </w:rPr>
  </w:style>
  <w:style w:type="character" w:styleId="1990">
    <w:name w:val="Символ сноски"/>
    <w:uiPriority w:val="99"/>
    <w:semiHidden/>
    <w:unhideWhenUsed/>
    <w:qFormat/>
    <w:rPr>
      <w:vertAlign w:val="superscript"/>
    </w:rPr>
  </w:style>
  <w:style w:type="character" w:styleId="1991">
    <w:name w:val="footnote reference"/>
    <w:rPr>
      <w:vertAlign w:val="superscript"/>
    </w:rPr>
  </w:style>
  <w:style w:type="character" w:styleId="1992" w:customStyle="1">
    <w:name w:val="Текст Знак1"/>
    <w:uiPriority w:val="99"/>
    <w:qFormat/>
    <w:rPr>
      <w:rFonts w:ascii="Courier New" w:hAnsi="Courier New" w:eastAsia="Times New Roman"/>
    </w:rPr>
  </w:style>
  <w:style w:type="character" w:styleId="1993" w:customStyle="1">
    <w:name w:val="Гипертекстовая ссылка"/>
    <w:qFormat/>
    <w:rPr>
      <w:rFonts w:cs="Times New Roman"/>
      <w:color w:val="106bbe"/>
    </w:rPr>
  </w:style>
  <w:style w:type="character" w:styleId="1994" w:customStyle="1">
    <w:name w:val="Табл. основн.12 Знак1"/>
    <w:basedOn w:val="1919"/>
    <w:qFormat/>
  </w:style>
  <w:style w:type="character" w:styleId="1995" w:customStyle="1">
    <w:name w:val="Font Style24"/>
    <w:uiPriority w:val="99"/>
    <w:qFormat/>
    <w:rPr>
      <w:rFonts w:ascii="Times New Roman" w:hAnsi="Times New Roman" w:cs="Times New Roman"/>
      <w:sz w:val="24"/>
      <w:szCs w:val="24"/>
    </w:rPr>
  </w:style>
  <w:style w:type="character" w:styleId="1996" w:customStyle="1">
    <w:name w:val="Табл. основн. 11 Знак"/>
    <w:qFormat/>
    <w:rPr>
      <w:sz w:val="22"/>
    </w:rPr>
  </w:style>
  <w:style w:type="character" w:styleId="1997">
    <w:name w:val="Ссылка указателя"/>
    <w:qFormat/>
  </w:style>
  <w:style w:type="paragraph" w:styleId="1998" w:customStyle="1">
    <w:name w:val="Заголовок"/>
    <w:next w:val="1999"/>
    <w:qFormat/>
    <w:pPr>
      <w:jc w:val="left"/>
      <w:spacing w:before="0" w:after="0"/>
      <w:widowControl w:val="off"/>
    </w:pPr>
    <w:rPr>
      <w:rFonts w:ascii="Arial" w:hAnsi="Arial" w:eastAsia="Times New Roman" w:cs="Arial"/>
      <w:b/>
      <w:bCs/>
      <w:color w:val="auto"/>
      <w:sz w:val="22"/>
      <w:szCs w:val="22"/>
      <w:lang w:val="ru-RU" w:eastAsia="ru-RU" w:bidi="ar-SA"/>
    </w:rPr>
  </w:style>
  <w:style w:type="paragraph" w:styleId="1999">
    <w:name w:val="Body Text"/>
    <w:basedOn w:val="1889"/>
    <w:pPr>
      <w:jc w:val="both"/>
      <w:spacing w:before="120" w:after="120" w:line="300" w:lineRule="exact"/>
    </w:pPr>
    <w:rPr>
      <w:sz w:val="24"/>
    </w:rPr>
  </w:style>
  <w:style w:type="paragraph" w:styleId="2000">
    <w:name w:val="List"/>
    <w:basedOn w:val="1889"/>
    <w:pPr>
      <w:ind w:left="851" w:hanging="284"/>
      <w:jc w:val="both"/>
      <w:spacing w:before="120" w:after="120" w:line="300" w:lineRule="exact"/>
    </w:pPr>
    <w:rPr>
      <w:sz w:val="24"/>
    </w:rPr>
  </w:style>
  <w:style w:type="paragraph" w:styleId="2001">
    <w:name w:val="Caption"/>
    <w:basedOn w:val="1889"/>
    <w:link w:val="1914"/>
    <w:qFormat/>
    <w:pPr>
      <w:spacing w:before="120" w:after="120"/>
      <w:suppressLineNumbers/>
    </w:pPr>
    <w:rPr>
      <w:rFonts w:cs="Lohit Devanagari"/>
      <w:i/>
      <w:iCs/>
      <w:sz w:val="24"/>
      <w:szCs w:val="24"/>
    </w:rPr>
  </w:style>
  <w:style w:type="paragraph" w:styleId="2002">
    <w:name w:val="Указатель"/>
    <w:basedOn w:val="1889"/>
    <w:qFormat/>
    <w:pPr>
      <w:suppressLineNumbers/>
    </w:pPr>
    <w:rPr>
      <w:rFonts w:cs="Lohit Devanagari"/>
    </w:rPr>
  </w:style>
  <w:style w:type="paragraph" w:styleId="2003">
    <w:name w:val="Quote"/>
    <w:basedOn w:val="1889"/>
    <w:uiPriority w:val="29"/>
    <w:qFormat/>
    <w:pPr>
      <w:ind w:left="720" w:right="720"/>
    </w:pPr>
    <w:rPr>
      <w:i/>
    </w:rPr>
  </w:style>
  <w:style w:type="paragraph" w:styleId="2004">
    <w:name w:val="Intense Quote"/>
    <w:basedOn w:val="1889"/>
    <w:uiPriority w:val="30"/>
    <w:qFormat/>
    <w:pPr>
      <w:ind w:left="720" w:right="720"/>
      <w:spacing w:before="0" w:after="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2005">
    <w:name w:val="endnote text"/>
    <w:basedOn w:val="1889"/>
    <w:uiPriority w:val="99"/>
    <w:semiHidden/>
    <w:unhideWhenUsed/>
    <w:pPr>
      <w:spacing w:before="0" w:after="0" w:line="240" w:lineRule="auto"/>
    </w:pPr>
    <w:rPr>
      <w:sz w:val="20"/>
    </w:rPr>
  </w:style>
  <w:style w:type="paragraph" w:styleId="2006">
    <w:name w:val="table of figures"/>
    <w:basedOn w:val="1889"/>
    <w:uiPriority w:val="99"/>
    <w:unhideWhenUsed/>
    <w:pPr>
      <w:spacing w:before="0" w:after="0" w:afterAutospacing="0"/>
    </w:pPr>
  </w:style>
  <w:style w:type="paragraph" w:styleId="2007">
    <w:name w:val="List Bullet"/>
    <w:basedOn w:val="1889"/>
    <w:pPr>
      <w:ind w:left="851" w:hanging="284"/>
      <w:jc w:val="both"/>
      <w:spacing w:before="120" w:after="120" w:line="300" w:lineRule="exact"/>
    </w:pPr>
    <w:rPr>
      <w:sz w:val="24"/>
    </w:rPr>
  </w:style>
  <w:style w:type="paragraph" w:styleId="2008">
    <w:name w:val="index heading"/>
    <w:basedOn w:val="1998"/>
  </w:style>
  <w:style w:type="paragraph" w:styleId="2009">
    <w:name w:val="table of authorities"/>
    <w:basedOn w:val="1889"/>
    <w:semiHidden/>
    <w:qFormat/>
    <w:pPr>
      <w:ind w:right="57"/>
      <w:jc w:val="right"/>
      <w:spacing w:before="40" w:after="40"/>
    </w:pPr>
    <w:rPr>
      <w:b/>
    </w:rPr>
  </w:style>
  <w:style w:type="paragraph" w:styleId="2010">
    <w:name w:val="List Number"/>
    <w:basedOn w:val="1889"/>
    <w:pPr>
      <w:numPr>
        <w:ilvl w:val="0"/>
        <w:numId w:val="2"/>
      </w:numPr>
      <w:outlineLvl w:val="0"/>
    </w:pPr>
  </w:style>
  <w:style w:type="paragraph" w:styleId="2011">
    <w:name w:val="List Number 2"/>
    <w:basedOn w:val="1889"/>
    <w:pPr>
      <w:ind w:left="360" w:hanging="360"/>
      <w:tabs>
        <w:tab w:val="left" w:pos="360" w:leader="none"/>
        <w:tab w:val="clear" w:pos="709" w:leader="none"/>
      </w:tabs>
    </w:pPr>
  </w:style>
  <w:style w:type="paragraph" w:styleId="2012">
    <w:name w:val="List Number 3"/>
    <w:basedOn w:val="1889"/>
    <w:pPr>
      <w:ind w:left="357" w:hanging="357"/>
      <w:tabs>
        <w:tab w:val="left" w:pos="357" w:leader="none"/>
        <w:tab w:val="clear" w:pos="709" w:leader="none"/>
      </w:tabs>
    </w:pPr>
  </w:style>
  <w:style w:type="paragraph" w:styleId="2013">
    <w:name w:val="List Number 4"/>
    <w:basedOn w:val="1889"/>
    <w:pPr>
      <w:ind w:left="537" w:hanging="357"/>
      <w:tabs>
        <w:tab w:val="left" w:pos="537" w:leader="none"/>
        <w:tab w:val="clear" w:pos="709" w:leader="none"/>
      </w:tabs>
    </w:pPr>
  </w:style>
  <w:style w:type="paragraph" w:styleId="2014">
    <w:name w:val="toc 2"/>
    <w:basedOn w:val="1889"/>
    <w:uiPriority w:val="39"/>
    <w:qFormat/>
    <w:pPr>
      <w:ind w:left="454" w:hanging="227"/>
      <w:spacing w:before="120" w:after="120"/>
      <w:tabs>
        <w:tab w:val="clear" w:pos="709" w:leader="none"/>
        <w:tab w:val="right" w:pos="9072" w:leader="dot"/>
      </w:tabs>
    </w:pPr>
    <w:rPr>
      <w:sz w:val="24"/>
    </w:rPr>
  </w:style>
  <w:style w:type="paragraph" w:styleId="2015" w:customStyle="1">
    <w:name w:val="_Табличн_12"/>
    <w:qFormat/>
    <w:pPr>
      <w:jc w:val="left"/>
      <w:spacing w:before="40" w:after="40" w:line="240" w:lineRule="auto"/>
      <w:widowControl w:val="off"/>
    </w:pPr>
    <w:rPr>
      <w:rFonts w:ascii="Times New Roman" w:hAnsi="Times New Roman" w:eastAsia="WenQuanYi Micro Hei" w:cs="Lohit Devanagari"/>
      <w:color w:val="auto"/>
      <w:sz w:val="20"/>
      <w:szCs w:val="20"/>
      <w:lang w:val="ru-RU" w:eastAsia="ru-RU" w:bidi="ar-SA"/>
    </w:rPr>
  </w:style>
  <w:style w:type="paragraph" w:styleId="2016">
    <w:name w:val="Body Text 2"/>
    <w:basedOn w:val="1889"/>
    <w:qFormat/>
    <w:pPr>
      <w:ind w:firstLine="720"/>
      <w:spacing w:before="0" w:after="120" w:line="300" w:lineRule="exact"/>
    </w:pPr>
    <w:rPr>
      <w:rFonts w:ascii="Arial" w:hAnsi="Arial"/>
    </w:rPr>
  </w:style>
  <w:style w:type="paragraph" w:styleId="2017">
    <w:name w:val="Date"/>
    <w:basedOn w:val="1889"/>
    <w:qFormat/>
    <w:pPr>
      <w:ind w:firstLine="709"/>
      <w:spacing w:before="360" w:after="120"/>
    </w:pPr>
    <w:rPr>
      <w:b/>
    </w:rPr>
  </w:style>
  <w:style w:type="paragraph" w:styleId="2018" w:customStyle="1">
    <w:name w:val="Стиль1"/>
    <w:basedOn w:val="1889"/>
    <w:qFormat/>
    <w:pPr>
      <w:ind w:left="2129" w:hanging="340"/>
      <w:tabs>
        <w:tab w:val="clear" w:pos="709" w:leader="none"/>
        <w:tab w:val="left" w:pos="2149" w:leader="none"/>
      </w:tabs>
    </w:pPr>
    <w:rPr>
      <w:rFonts w:ascii="Arial" w:hAnsi="Arial" w:cs="Arial"/>
    </w:rPr>
  </w:style>
  <w:style w:type="paragraph" w:styleId="2019" w:customStyle="1">
    <w:name w:val="Маркированный список 1"/>
    <w:basedOn w:val="1889"/>
    <w:qFormat/>
    <w:pPr>
      <w:ind w:left="1060" w:hanging="340"/>
      <w:spacing w:before="60" w:after="60"/>
      <w:tabs>
        <w:tab w:val="clear" w:pos="709" w:leader="none"/>
        <w:tab w:val="left" w:pos="1080" w:leader="none"/>
      </w:tabs>
    </w:pPr>
  </w:style>
  <w:style w:type="paragraph" w:styleId="2020" w:customStyle="1">
    <w:name w:val="Основной текст 1"/>
    <w:basedOn w:val="1889"/>
    <w:qFormat/>
    <w:pPr>
      <w:ind w:firstLine="567"/>
      <w:jc w:val="both"/>
      <w:spacing w:line="360" w:lineRule="auto"/>
    </w:pPr>
    <w:rPr>
      <w:sz w:val="24"/>
      <w:szCs w:val="24"/>
    </w:rPr>
  </w:style>
  <w:style w:type="paragraph" w:styleId="2021">
    <w:name w:val="Body Text Indent"/>
    <w:basedOn w:val="1889"/>
    <w:pPr>
      <w:ind w:left="283"/>
      <w:spacing w:before="0" w:after="120"/>
    </w:pPr>
  </w:style>
  <w:style w:type="paragraph" w:styleId="2022">
    <w:name w:val="toc 1"/>
    <w:basedOn w:val="1889"/>
    <w:uiPriority w:val="39"/>
    <w:qFormat/>
    <w:pPr>
      <w:ind w:left="198" w:hanging="198"/>
      <w:spacing w:before="120" w:after="120"/>
      <w:tabs>
        <w:tab w:val="clear" w:pos="709" w:leader="none"/>
        <w:tab w:val="right" w:pos="9072" w:leader="dot"/>
      </w:tabs>
    </w:pPr>
    <w:rPr>
      <w:sz w:val="24"/>
    </w:rPr>
  </w:style>
  <w:style w:type="paragraph" w:styleId="2023" w:customStyle="1">
    <w:name w:val="Табл. основн.12"/>
    <w:basedOn w:val="1889"/>
    <w:qFormat/>
    <w:pPr>
      <w:jc w:val="center"/>
      <w:spacing w:before="40" w:after="40"/>
    </w:pPr>
  </w:style>
  <w:style w:type="paragraph" w:styleId="2024">
    <w:name w:val="Колонтитул"/>
    <w:basedOn w:val="1889"/>
    <w:qFormat/>
  </w:style>
  <w:style w:type="paragraph" w:styleId="2025">
    <w:name w:val="Header and Footer"/>
    <w:basedOn w:val="1889"/>
    <w:qFormat/>
  </w:style>
  <w:style w:type="paragraph" w:styleId="2026">
    <w:name w:val="Header"/>
    <w:basedOn w:val="1889"/>
    <w:uiPriority w:val="99"/>
    <w:pPr>
      <w:jc w:val="center"/>
      <w:spacing w:before="60" w:after="60"/>
      <w:tabs>
        <w:tab w:val="clear" w:pos="709" w:leader="none"/>
        <w:tab w:val="center" w:pos="4536" w:leader="none"/>
        <w:tab w:val="right" w:pos="9072" w:leader="none"/>
      </w:tabs>
    </w:pPr>
    <w:rPr>
      <w:sz w:val="22"/>
    </w:rPr>
  </w:style>
  <w:style w:type="paragraph" w:styleId="2027" w:customStyle="1">
    <w:name w:val="осн.табл."/>
    <w:basedOn w:val="1889"/>
    <w:qFormat/>
    <w:pPr>
      <w:spacing w:before="120" w:after="120"/>
    </w:pPr>
  </w:style>
  <w:style w:type="paragraph" w:styleId="2028">
    <w:name w:val="Footer"/>
    <w:basedOn w:val="1889"/>
    <w:uiPriority w:val="99"/>
    <w:pPr>
      <w:jc w:val="right"/>
      <w:spacing w:before="60" w:after="60"/>
      <w:tabs>
        <w:tab w:val="clear" w:pos="709" w:leader="none"/>
        <w:tab w:val="center" w:pos="4536" w:leader="none"/>
        <w:tab w:val="right" w:pos="9072" w:leader="none"/>
      </w:tabs>
    </w:pPr>
  </w:style>
  <w:style w:type="paragraph" w:styleId="2029" w:customStyle="1">
    <w:name w:val="Табл. титл.12"/>
    <w:basedOn w:val="1889"/>
    <w:qFormat/>
    <w:pPr>
      <w:jc w:val="center"/>
      <w:keepNext/>
      <w:spacing w:before="120" w:after="120" w:line="300" w:lineRule="exact"/>
    </w:pPr>
    <w:rPr>
      <w:b/>
    </w:rPr>
  </w:style>
  <w:style w:type="paragraph" w:styleId="2030" w:customStyle="1">
    <w:name w:val="Табл. заголов.12"/>
    <w:basedOn w:val="1889"/>
    <w:qFormat/>
    <w:pPr>
      <w:jc w:val="center"/>
      <w:spacing w:before="60" w:after="60"/>
    </w:pPr>
    <w:rPr>
      <w:b/>
    </w:rPr>
  </w:style>
  <w:style w:type="paragraph" w:styleId="2031">
    <w:name w:val="toc 3"/>
    <w:basedOn w:val="1889"/>
    <w:uiPriority w:val="39"/>
    <w:qFormat/>
    <w:pPr>
      <w:ind w:left="1588" w:hanging="794"/>
      <w:spacing w:before="120" w:after="120"/>
      <w:tabs>
        <w:tab w:val="clear" w:pos="709" w:leader="none"/>
        <w:tab w:val="right" w:pos="8391" w:leader="dot"/>
      </w:tabs>
    </w:pPr>
    <w:rPr>
      <w:sz w:val="24"/>
    </w:rPr>
  </w:style>
  <w:style w:type="paragraph" w:styleId="2032">
    <w:name w:val="index 1"/>
    <w:basedOn w:val="1889"/>
    <w:semiHidden/>
    <w:qFormat/>
    <w:pPr>
      <w:ind w:left="240" w:hanging="240"/>
      <w:spacing w:before="120" w:after="120"/>
      <w:tabs>
        <w:tab w:val="clear" w:pos="709" w:leader="none"/>
        <w:tab w:val="right" w:pos="9071" w:leader="dot"/>
      </w:tabs>
    </w:pPr>
  </w:style>
  <w:style w:type="paragraph" w:styleId="2033">
    <w:name w:val="index heading1"/>
    <w:basedOn w:val="1889"/>
    <w:semiHidden/>
    <w:qFormat/>
    <w:pPr>
      <w:spacing w:before="120" w:after="120"/>
    </w:pPr>
  </w:style>
  <w:style w:type="paragraph" w:styleId="2034">
    <w:name w:val="footnote text"/>
    <w:basedOn w:val="1889"/>
    <w:uiPriority w:val="99"/>
    <w:semiHidden/>
    <w:pPr>
      <w:spacing w:before="120" w:after="120"/>
    </w:pPr>
  </w:style>
  <w:style w:type="paragraph" w:styleId="2035" w:customStyle="1">
    <w:name w:val="Осн. выделен."/>
    <w:basedOn w:val="1999"/>
    <w:qFormat/>
    <w:pPr>
      <w:ind w:left="1616" w:hanging="907"/>
    </w:pPr>
    <w:rPr>
      <w:spacing w:val="50"/>
    </w:rPr>
  </w:style>
  <w:style w:type="paragraph" w:styleId="2036" w:customStyle="1">
    <w:name w:val="Список лит"/>
    <w:basedOn w:val="2000"/>
    <w:qFormat/>
    <w:pPr>
      <w:ind w:left="567" w:hanging="567"/>
      <w:spacing w:before="60" w:after="60"/>
    </w:pPr>
  </w:style>
  <w:style w:type="paragraph" w:styleId="2037" w:customStyle="1">
    <w:name w:val="Табл. основной"/>
    <w:basedOn w:val="1889"/>
    <w:qFormat/>
    <w:pPr>
      <w:ind w:right="-57"/>
      <w:jc w:val="center"/>
      <w:spacing w:before="60" w:after="60"/>
    </w:pPr>
  </w:style>
  <w:style w:type="paragraph" w:styleId="2038" w:customStyle="1">
    <w:name w:val="Табличный12"/>
    <w:basedOn w:val="1999"/>
    <w:qFormat/>
    <w:pPr>
      <w:ind w:left="57"/>
      <w:spacing w:before="20" w:after="20"/>
    </w:pPr>
  </w:style>
  <w:style w:type="paragraph" w:styleId="2039" w:customStyle="1">
    <w:name w:val="Номер таблицы"/>
    <w:qFormat/>
    <w:pPr>
      <w:jc w:val="right"/>
      <w:spacing w:before="20" w:after="0"/>
      <w:widowControl/>
    </w:pPr>
    <w:rPr>
      <w:rFonts w:ascii="Times New Roman" w:hAnsi="Times New Roman" w:eastAsia="WenQuanYi Micro Hei" w:cs="Lohit Devanagari"/>
      <w:color w:val="auto"/>
      <w:sz w:val="20"/>
      <w:szCs w:val="20"/>
      <w:lang w:val="ru-RU" w:eastAsia="ru-RU" w:bidi="ar-SA"/>
    </w:rPr>
  </w:style>
  <w:style w:type="paragraph" w:styleId="2040" w:customStyle="1">
    <w:name w:val="Название1"/>
    <w:basedOn w:val="1889"/>
    <w:qFormat/>
    <w:pPr>
      <w:jc w:val="center"/>
      <w:keepNext/>
      <w:spacing w:before="480" w:after="240" w:line="300" w:lineRule="exact"/>
    </w:pPr>
    <w:rPr>
      <w:rFonts w:ascii="Arial" w:hAnsi="Arial"/>
      <w:b/>
      <w:caps/>
      <w:spacing w:val="20"/>
      <w:sz w:val="24"/>
    </w:rPr>
  </w:style>
  <w:style w:type="paragraph" w:styleId="2041" w:customStyle="1">
    <w:name w:val="имя таблицы Знак"/>
    <w:basedOn w:val="1889"/>
    <w:qFormat/>
    <w:pPr>
      <w:jc w:val="center"/>
      <w:keepNext/>
      <w:spacing w:before="120" w:after="120"/>
    </w:pPr>
    <w:rPr>
      <w:b/>
      <w:lang w:val="en-US"/>
    </w:rPr>
  </w:style>
  <w:style w:type="paragraph" w:styleId="2042" w:customStyle="1">
    <w:name w:val="Табл. основн. 11"/>
    <w:basedOn w:val="2023"/>
    <w:qFormat/>
    <w:rPr>
      <w:sz w:val="22"/>
    </w:rPr>
  </w:style>
  <w:style w:type="paragraph" w:styleId="2043" w:customStyle="1">
    <w:name w:val="Вставка"/>
    <w:basedOn w:val="1999"/>
    <w:qFormat/>
    <w:pPr>
      <w:pageBreakBefore/>
    </w:pPr>
  </w:style>
  <w:style w:type="paragraph" w:styleId="2044" w:customStyle="1">
    <w:name w:val="Табл_12"/>
    <w:basedOn w:val="2023"/>
    <w:qFormat/>
    <w:pPr>
      <w:ind w:left="57"/>
      <w:jc w:val="left"/>
    </w:pPr>
  </w:style>
  <w:style w:type="paragraph" w:styleId="2045" w:customStyle="1">
    <w:name w:val="нум. спис. №2"/>
    <w:basedOn w:val="2010"/>
    <w:qFormat/>
    <w:pPr>
      <w:numPr>
        <w:ilvl w:val="0"/>
        <w:numId w:val="0"/>
      </w:numPr>
      <w:ind w:left="170" w:hanging="170"/>
      <w:tabs>
        <w:tab w:val="left" w:pos="360" w:leader="none"/>
        <w:tab w:val="clear" w:pos="709" w:leader="none"/>
      </w:tabs>
      <w:outlineLvl w:val="9"/>
    </w:pPr>
  </w:style>
  <w:style w:type="paragraph" w:styleId="2046" w:customStyle="1">
    <w:name w:val="Табличн. 11"/>
    <w:basedOn w:val="2023"/>
    <w:qFormat/>
    <w:rPr>
      <w:sz w:val="22"/>
    </w:rPr>
  </w:style>
  <w:style w:type="paragraph" w:styleId="2047" w:customStyle="1">
    <w:name w:val="Подзагаловок"/>
    <w:basedOn w:val="2030"/>
    <w:qFormat/>
    <w:pPr>
      <w:jc w:val="left"/>
      <w:spacing w:before="360" w:after="60"/>
    </w:pPr>
  </w:style>
  <w:style w:type="paragraph" w:styleId="2048" w:customStyle="1">
    <w:name w:val="n и имя таблицы"/>
    <w:basedOn w:val="1999"/>
    <w:qFormat/>
    <w:pPr>
      <w:ind w:left="1588" w:hanging="1588"/>
      <w:jc w:val="left"/>
      <w:keepNext/>
      <w:spacing w:before="360" w:after="240"/>
    </w:pPr>
    <w:rPr>
      <w:b/>
      <w:spacing w:val="10"/>
    </w:rPr>
  </w:style>
  <w:style w:type="paragraph" w:styleId="2049" w:customStyle="1">
    <w:name w:val="Нормальный"/>
    <w:basedOn w:val="1999"/>
    <w:qFormat/>
    <w:pPr>
      <w:spacing w:before="60" w:after="60"/>
    </w:pPr>
  </w:style>
  <w:style w:type="paragraph" w:styleId="2050">
    <w:name w:val="List 5"/>
    <w:basedOn w:val="1889"/>
    <w:qFormat/>
    <w:pPr>
      <w:ind w:left="1415" w:hanging="283"/>
      <w:spacing w:before="120" w:after="120"/>
    </w:pPr>
  </w:style>
  <w:style w:type="paragraph" w:styleId="2051" w:customStyle="1">
    <w:name w:val="Стиль Табл. основн.12 + Times New Roman CYR По левому краю Слева:..."/>
    <w:basedOn w:val="2023"/>
    <w:qFormat/>
    <w:pPr>
      <w:jc w:val="left"/>
    </w:pPr>
    <w:rPr>
      <w:rFonts w:ascii="Times New Roman CYR" w:hAnsi="Times New Roman CYR"/>
    </w:rPr>
  </w:style>
  <w:style w:type="paragraph" w:styleId="2052">
    <w:name w:val="caption1"/>
    <w:basedOn w:val="1889"/>
    <w:qFormat/>
    <w:pPr>
      <w:jc w:val="center"/>
      <w:spacing w:before="60" w:after="60"/>
    </w:pPr>
    <w:rPr>
      <w:b/>
      <w:bCs/>
    </w:rPr>
  </w:style>
  <w:style w:type="paragraph" w:styleId="2053" w:customStyle="1">
    <w:name w:val="Основной табл"/>
    <w:basedOn w:val="1999"/>
    <w:qFormat/>
    <w:pPr>
      <w:spacing w:before="120" w:after="0"/>
    </w:pPr>
    <w:rPr>
      <w:lang w:val="en-US"/>
    </w:rPr>
  </w:style>
  <w:style w:type="paragraph" w:styleId="2054" w:customStyle="1">
    <w:name w:val="Основной перечень"/>
    <w:basedOn w:val="1999"/>
    <w:qFormat/>
    <w:pPr>
      <w:numPr>
        <w:ilvl w:val="0"/>
        <w:numId w:val="1"/>
      </w:numPr>
    </w:pPr>
  </w:style>
  <w:style w:type="paragraph" w:styleId="2055" w:customStyle="1">
    <w:name w:val="Closing"/>
    <w:basedOn w:val="1999"/>
    <w:pPr>
      <w:ind w:left="1701" w:hanging="1701"/>
    </w:pPr>
  </w:style>
  <w:style w:type="paragraph" w:styleId="2056" w:customStyle="1">
    <w:name w:val="Текст обращения"/>
    <w:basedOn w:val="1999"/>
    <w:qFormat/>
    <w:pPr>
      <w:ind w:left="-1134" w:firstLine="720"/>
      <w:jc w:val="center"/>
      <w:spacing w:before="600" w:after="0"/>
    </w:pPr>
    <w:rPr>
      <w:rFonts w:ascii="Arial" w:hAnsi="Arial"/>
      <w:b/>
      <w:sz w:val="28"/>
      <w:lang w:val="en-US"/>
    </w:rPr>
  </w:style>
  <w:style w:type="paragraph" w:styleId="2057" w:customStyle="1">
    <w:name w:val="ШИФР"/>
    <w:basedOn w:val="2000"/>
    <w:qFormat/>
    <w:pPr>
      <w:ind w:left="284"/>
      <w:jc w:val="right"/>
      <w:spacing w:before="1800" w:after="120"/>
    </w:pPr>
    <w:rPr>
      <w:b/>
    </w:rPr>
  </w:style>
  <w:style w:type="paragraph" w:styleId="2058" w:customStyle="1">
    <w:name w:val="Обычный 1"/>
    <w:basedOn w:val="1889"/>
    <w:qFormat/>
    <w:pPr>
      <w:ind w:left="1276" w:hanging="567"/>
      <w:spacing w:before="360" w:after="120"/>
    </w:pPr>
    <w:rPr>
      <w:b/>
    </w:rPr>
  </w:style>
  <w:style w:type="paragraph" w:styleId="2059" w:customStyle="1">
    <w:name w:val="таблица n"/>
    <w:basedOn w:val="1999"/>
    <w:qFormat/>
    <w:pPr>
      <w:jc w:val="right"/>
      <w:keepNext/>
      <w:spacing w:before="360" w:after="240"/>
    </w:pPr>
    <w:rPr>
      <w:rFonts w:ascii="Arial" w:hAnsi="Arial"/>
      <w:b/>
      <w:spacing w:val="10"/>
      <w:lang w:val="en-US"/>
    </w:rPr>
  </w:style>
  <w:style w:type="paragraph" w:styleId="2060" w:customStyle="1">
    <w:name w:val="Тв0бл. основной"/>
    <w:basedOn w:val="1889"/>
    <w:qFormat/>
    <w:pPr>
      <w:jc w:val="both"/>
    </w:pPr>
  </w:style>
  <w:style w:type="paragraph" w:styleId="2061" w:customStyle="1">
    <w:name w:val="Текст1"/>
    <w:basedOn w:val="1889"/>
    <w:qFormat/>
    <w:rPr>
      <w:rFonts w:ascii="Courier New" w:hAnsi="Courier New"/>
    </w:rPr>
  </w:style>
  <w:style w:type="paragraph" w:styleId="2062" w:customStyle="1">
    <w:name w:val="Маркированный список1"/>
    <w:basedOn w:val="1889"/>
    <w:qFormat/>
    <w:pPr>
      <w:ind w:left="993" w:hanging="284"/>
      <w:spacing w:before="60" w:after="60" w:line="300" w:lineRule="exact"/>
    </w:pPr>
  </w:style>
  <w:style w:type="paragraph" w:styleId="2063" w:customStyle="1">
    <w:name w:val="Список1"/>
    <w:basedOn w:val="1889"/>
    <w:qFormat/>
    <w:pPr>
      <w:ind w:left="993" w:hanging="284"/>
      <w:spacing w:before="60" w:after="60" w:line="300" w:lineRule="exact"/>
    </w:pPr>
  </w:style>
  <w:style w:type="paragraph" w:styleId="2064">
    <w:name w:val="List Continue 2"/>
    <w:basedOn w:val="1889"/>
    <w:pPr>
      <w:ind w:left="566"/>
      <w:spacing w:before="120" w:after="120"/>
    </w:pPr>
  </w:style>
  <w:style w:type="paragraph" w:styleId="2065">
    <w:name w:val="Body Text Indent 2"/>
    <w:basedOn w:val="1889"/>
    <w:qFormat/>
    <w:pPr>
      <w:ind w:left="283"/>
      <w:spacing w:before="120" w:after="120" w:line="480" w:lineRule="auto"/>
    </w:pPr>
  </w:style>
  <w:style w:type="paragraph" w:styleId="2066" w:customStyle="1">
    <w:name w:val="Список1 Знак"/>
    <w:basedOn w:val="1889"/>
    <w:qFormat/>
    <w:pPr>
      <w:ind w:left="1488" w:hanging="360"/>
      <w:jc w:val="both"/>
      <w:spacing w:line="360" w:lineRule="auto"/>
      <w:tabs>
        <w:tab w:val="clear" w:pos="709" w:leader="none"/>
        <w:tab w:val="left" w:pos="1488" w:leader="none"/>
      </w:tabs>
    </w:pPr>
    <w:rPr>
      <w:rFonts w:ascii="Arial" w:hAnsi="Arial"/>
    </w:rPr>
  </w:style>
  <w:style w:type="paragraph" w:styleId="2067">
    <w:name w:val="Body Text 3"/>
    <w:basedOn w:val="1889"/>
    <w:qFormat/>
    <w:pPr>
      <w:spacing w:before="120" w:after="120"/>
    </w:pPr>
    <w:rPr>
      <w:sz w:val="16"/>
      <w:szCs w:val="16"/>
    </w:rPr>
  </w:style>
  <w:style w:type="paragraph" w:styleId="2068">
    <w:name w:val="List Bullet 3"/>
    <w:basedOn w:val="1889"/>
    <w:pPr>
      <w:ind w:left="926" w:hanging="360"/>
      <w:tabs>
        <w:tab w:val="clear" w:pos="709" w:leader="none"/>
        <w:tab w:val="left" w:pos="926" w:leader="none"/>
      </w:tabs>
    </w:pPr>
  </w:style>
  <w:style w:type="paragraph" w:styleId="2069">
    <w:name w:val="Note Heading"/>
    <w:basedOn w:val="1889"/>
    <w:qFormat/>
    <w:pPr>
      <w:ind w:left="-1701"/>
      <w:jc w:val="center"/>
    </w:pPr>
    <w:rPr>
      <w:caps/>
    </w:rPr>
  </w:style>
  <w:style w:type="paragraph" w:styleId="2070" w:customStyle="1">
    <w:name w:val="Маркированный список 1 Знак"/>
    <w:basedOn w:val="1889"/>
    <w:qFormat/>
    <w:pPr>
      <w:ind w:left="992" w:hanging="283"/>
      <w:spacing w:before="60" w:after="60"/>
    </w:pPr>
  </w:style>
  <w:style w:type="paragraph" w:styleId="2071">
    <w:name w:val="Balloon Text"/>
    <w:basedOn w:val="1889"/>
    <w:uiPriority w:val="99"/>
    <w:semiHidden/>
    <w:qFormat/>
    <w:pPr>
      <w:spacing w:before="120" w:after="120"/>
    </w:pPr>
    <w:rPr>
      <w:rFonts w:ascii="Tahoma" w:hAnsi="Tahoma" w:cs="Tahoma"/>
      <w:sz w:val="16"/>
      <w:szCs w:val="16"/>
    </w:rPr>
  </w:style>
  <w:style w:type="paragraph" w:styleId="2072">
    <w:name w:val="Document Map"/>
    <w:basedOn w:val="1889"/>
    <w:semiHidden/>
    <w:qFormat/>
    <w:pPr>
      <w:spacing w:before="120" w:after="120"/>
      <w:shd w:val="clear" w:color="auto" w:fill="000080"/>
    </w:pPr>
    <w:rPr>
      <w:rFonts w:ascii="Tahoma" w:hAnsi="Tahoma" w:cs="Tahoma"/>
    </w:rPr>
  </w:style>
  <w:style w:type="paragraph" w:styleId="2073">
    <w:name w:val="toc 4"/>
    <w:basedOn w:val="1889"/>
    <w:uiPriority w:val="39"/>
    <w:pPr>
      <w:ind w:left="1191"/>
      <w:spacing w:before="0" w:after="120"/>
      <w:tabs>
        <w:tab w:val="clear" w:pos="709" w:leader="none"/>
        <w:tab w:val="right" w:pos="8392" w:leader="dot"/>
      </w:tabs>
    </w:pPr>
    <w:rPr>
      <w:sz w:val="24"/>
    </w:rPr>
  </w:style>
  <w:style w:type="paragraph" w:styleId="2074" w:customStyle="1">
    <w:name w:val="Табл. основн.12 Знак Знак Знак Знак Знак Знак Знак Знак Знак"/>
    <w:basedOn w:val="1889"/>
    <w:qFormat/>
    <w:pPr>
      <w:jc w:val="center"/>
      <w:spacing w:before="40" w:after="40"/>
    </w:pPr>
  </w:style>
  <w:style w:type="paragraph" w:styleId="2075">
    <w:name w:val="List Bullet 5"/>
    <w:basedOn w:val="1889"/>
    <w:pPr>
      <w:ind w:left="737" w:hanging="283"/>
      <w:spacing w:line="300" w:lineRule="exact"/>
      <w:tabs>
        <w:tab w:val="left" w:pos="454" w:leader="none"/>
        <w:tab w:val="clear" w:pos="709" w:leader="none"/>
      </w:tabs>
    </w:pPr>
    <w:rPr>
      <w:rFonts w:ascii="Arial" w:hAnsi="Arial"/>
    </w:rPr>
  </w:style>
  <w:style w:type="paragraph" w:styleId="2076">
    <w:name w:val="List 2"/>
    <w:basedOn w:val="1889"/>
    <w:qFormat/>
    <w:pPr>
      <w:ind w:left="284" w:hanging="284"/>
      <w:jc w:val="both"/>
      <w:spacing w:before="120" w:after="120" w:line="300" w:lineRule="exact"/>
    </w:pPr>
    <w:rPr>
      <w:sz w:val="24"/>
    </w:rPr>
  </w:style>
  <w:style w:type="paragraph" w:styleId="2077">
    <w:name w:val="List Bullet 2"/>
    <w:basedOn w:val="1889"/>
    <w:pPr>
      <w:ind w:left="340" w:hanging="340"/>
      <w:spacing w:before="60" w:after="60"/>
      <w:tabs>
        <w:tab w:val="left" w:pos="360" w:leader="none"/>
        <w:tab w:val="clear" w:pos="709" w:leader="none"/>
      </w:tabs>
    </w:pPr>
  </w:style>
  <w:style w:type="paragraph" w:styleId="2078" w:customStyle="1">
    <w:name w:val="Основной перечень1"/>
    <w:basedOn w:val="2054"/>
    <w:qFormat/>
    <w:pPr>
      <w:numPr>
        <w:ilvl w:val="0"/>
        <w:numId w:val="0"/>
      </w:numPr>
      <w:ind w:left="709" w:hanging="709"/>
      <w:spacing w:before="0" w:after="120"/>
      <w:tabs>
        <w:tab w:val="left" w:pos="680" w:leader="none"/>
        <w:tab w:val="clear" w:pos="709" w:leader="none"/>
      </w:tabs>
    </w:pPr>
  </w:style>
  <w:style w:type="paragraph" w:styleId="2079">
    <w:name w:val="List Bullet 4"/>
    <w:basedOn w:val="1889"/>
    <w:pPr>
      <w:ind w:left="1021" w:hanging="341"/>
      <w:tabs>
        <w:tab w:val="clear" w:pos="709" w:leader="none"/>
        <w:tab w:val="left" w:pos="1021" w:leader="none"/>
      </w:tabs>
    </w:pPr>
  </w:style>
  <w:style w:type="paragraph" w:styleId="2080" w:customStyle="1">
    <w:name w:val="Нумер список абв"/>
    <w:basedOn w:val="2010"/>
    <w:qFormat/>
    <w:pPr>
      <w:numPr>
        <w:ilvl w:val="0"/>
        <w:numId w:val="0"/>
      </w:numPr>
      <w:ind w:left="397" w:hanging="397"/>
      <w:tabs>
        <w:tab w:val="left" w:pos="397" w:leader="none"/>
        <w:tab w:val="clear" w:pos="709" w:leader="none"/>
      </w:tabs>
      <w:outlineLvl w:val="9"/>
    </w:pPr>
  </w:style>
  <w:style w:type="paragraph" w:styleId="2081" w:customStyle="1">
    <w:name w:val="oaiea"/>
    <w:basedOn w:val="1999"/>
    <w:qFormat/>
    <w:pPr>
      <w:jc w:val="center"/>
      <w:spacing w:before="60" w:after="60"/>
    </w:pPr>
    <w:rPr>
      <w:rFonts w:ascii="Arial" w:hAnsi="Arial"/>
      <w:sz w:val="32"/>
    </w:rPr>
  </w:style>
  <w:style w:type="paragraph" w:styleId="2082" w:customStyle="1">
    <w:name w:val="шапка"/>
    <w:basedOn w:val="1999"/>
    <w:qFormat/>
    <w:pPr>
      <w:jc w:val="center"/>
      <w:spacing w:before="60" w:after="60" w:line="300" w:lineRule="exact"/>
    </w:pPr>
    <w:rPr>
      <w:rFonts w:ascii="Arial" w:hAnsi="Arial" w:cs="Arial"/>
      <w:sz w:val="32"/>
      <w:szCs w:val="32"/>
    </w:rPr>
  </w:style>
  <w:style w:type="paragraph" w:styleId="2083" w:customStyle="1">
    <w:name w:val="Текст таблицы"/>
    <w:basedOn w:val="1889"/>
    <w:qFormat/>
    <w:rPr>
      <w:rFonts w:ascii="Arial" w:hAnsi="Arial" w:cs="Arial"/>
    </w:rPr>
  </w:style>
  <w:style w:type="paragraph" w:styleId="2084" w:customStyle="1">
    <w:name w:val="имя таблицы"/>
    <w:basedOn w:val="1889"/>
    <w:qFormat/>
    <w:pPr>
      <w:jc w:val="center"/>
      <w:keepNext/>
      <w:spacing w:before="120" w:after="120"/>
    </w:pPr>
    <w:rPr>
      <w:b/>
      <w:sz w:val="24"/>
      <w:lang w:val="en-US"/>
    </w:rPr>
  </w:style>
  <w:style w:type="paragraph" w:styleId="2085" w:customStyle="1">
    <w:name w:val="Список по буквам"/>
    <w:basedOn w:val="2045"/>
    <w:qFormat/>
    <w:pPr>
      <w:ind w:left="1021" w:hanging="454"/>
      <w:spacing w:before="0" w:after="120"/>
      <w:tabs>
        <w:tab w:val="clear" w:pos="360" w:leader="none"/>
        <w:tab w:val="left" w:pos="1021" w:leader="none"/>
      </w:tabs>
    </w:pPr>
    <w:rPr>
      <w:rFonts w:ascii="Arial" w:hAnsi="Arial"/>
      <w:sz w:val="24"/>
      <w:szCs w:val="24"/>
    </w:rPr>
  </w:style>
  <w:style w:type="paragraph" w:styleId="2086">
    <w:name w:val="Body Text Indent 3"/>
    <w:basedOn w:val="1889"/>
    <w:qFormat/>
    <w:pPr>
      <w:ind w:firstLine="709"/>
      <w:jc w:val="both"/>
      <w:spacing w:line="360" w:lineRule="auto"/>
    </w:pPr>
    <w:rPr>
      <w:b/>
      <w:bCs/>
      <w:u w:val="single"/>
    </w:rPr>
  </w:style>
  <w:style w:type="paragraph" w:styleId="2087" w:customStyle="1">
    <w:name w:val="Заголовок4 Знак"/>
    <w:basedOn w:val="1889"/>
    <w:qFormat/>
    <w:pPr>
      <w:ind w:firstLine="709"/>
      <w:spacing w:before="240" w:after="120"/>
    </w:pPr>
    <w:rPr>
      <w:b/>
    </w:rPr>
  </w:style>
  <w:style w:type="paragraph" w:styleId="2088" w:customStyle="1">
    <w:name w:val="Заголовок3 Знак"/>
    <w:basedOn w:val="1892"/>
    <w:qFormat/>
    <w:pPr>
      <w:ind w:firstLine="709"/>
      <w:jc w:val="both"/>
      <w:spacing w:before="0" w:after="240"/>
    </w:pPr>
    <w:rPr>
      <w:sz w:val="24"/>
    </w:rPr>
  </w:style>
  <w:style w:type="paragraph" w:styleId="2089" w:customStyle="1">
    <w:name w:val="Основной текст 21"/>
    <w:basedOn w:val="1889"/>
    <w:qFormat/>
    <w:pPr>
      <w:ind w:firstLine="709"/>
      <w:jc w:val="both"/>
      <w:spacing w:before="120" w:after="0" w:line="312" w:lineRule="auto"/>
    </w:pPr>
  </w:style>
  <w:style w:type="paragraph" w:styleId="2090">
    <w:name w:val="Block Text"/>
    <w:basedOn w:val="1889"/>
    <w:qFormat/>
    <w:pPr>
      <w:ind w:left="-567" w:right="-765" w:firstLine="1287"/>
      <w:jc w:val="both"/>
      <w:spacing w:before="60" w:after="60" w:line="360" w:lineRule="auto"/>
    </w:pPr>
  </w:style>
  <w:style w:type="paragraph" w:styleId="2091" w:customStyle="1">
    <w:name w:val="По Ямбургу 2"/>
    <w:basedOn w:val="1889"/>
    <w:qFormat/>
    <w:pPr>
      <w:ind w:firstLine="720"/>
      <w:jc w:val="both"/>
      <w:spacing w:before="0" w:after="120" w:line="480" w:lineRule="auto"/>
    </w:pPr>
    <w:rPr>
      <w:sz w:val="24"/>
    </w:rPr>
  </w:style>
  <w:style w:type="paragraph" w:styleId="2092">
    <w:name w:val="Subtitle"/>
    <w:basedOn w:val="1889"/>
    <w:qFormat/>
    <w:pPr>
      <w:ind w:right="-574"/>
      <w:jc w:val="center"/>
      <w:spacing w:line="360" w:lineRule="auto"/>
    </w:pPr>
    <w:rPr>
      <w:b/>
    </w:rPr>
  </w:style>
  <w:style w:type="paragraph" w:styleId="2093">
    <w:name w:val="Title"/>
    <w:basedOn w:val="1889"/>
    <w:qFormat/>
    <w:pPr>
      <w:keepNext/>
      <w:spacing w:before="240" w:after="120"/>
      <w:widowControl w:val="off"/>
    </w:pPr>
    <w:rPr>
      <w:rFonts w:eastAsia="Lucida Sans Unicode" w:cs="Arial Unicode MS"/>
      <w:sz w:val="28"/>
      <w:szCs w:val="28"/>
    </w:rPr>
  </w:style>
  <w:style w:type="paragraph" w:styleId="2094" w:customStyle="1">
    <w:name w:val="Содержимое таблицы"/>
    <w:basedOn w:val="1999"/>
    <w:qFormat/>
    <w:pPr>
      <w:widowControl w:val="off"/>
      <w:suppressLineNumbers/>
    </w:pPr>
    <w:rPr>
      <w:rFonts w:eastAsia="Lucida Sans Unicode"/>
      <w:szCs w:val="24"/>
    </w:rPr>
  </w:style>
  <w:style w:type="paragraph" w:styleId="2095" w:customStyle="1">
    <w:name w:val="Заголовок таблицы"/>
    <w:basedOn w:val="2094"/>
    <w:qFormat/>
    <w:pPr>
      <w:jc w:val="center"/>
    </w:pPr>
    <w:rPr>
      <w:b/>
      <w:bCs/>
      <w:i/>
      <w:iCs/>
    </w:rPr>
  </w:style>
  <w:style w:type="paragraph" w:styleId="2096" w:customStyle="1">
    <w:name w:val="Обычный1"/>
    <w:basedOn w:val="1889"/>
    <w:qFormat/>
    <w:pPr>
      <w:widowControl w:val="off"/>
    </w:pPr>
    <w:rPr>
      <w:rFonts w:eastAsia="Lucida Sans Unicode"/>
      <w:sz w:val="24"/>
      <w:szCs w:val="24"/>
    </w:rPr>
  </w:style>
  <w:style w:type="paragraph" w:styleId="2097" w:customStyle="1">
    <w:name w:val="Заголовок 21"/>
    <w:basedOn w:val="2096"/>
    <w:qFormat/>
  </w:style>
  <w:style w:type="paragraph" w:styleId="2098" w:customStyle="1">
    <w:name w:val="xl25"/>
    <w:basedOn w:val="1889"/>
    <w:qFormat/>
    <w:pPr>
      <w:jc w:val="center"/>
      <w:spacing w:beforeAutospacing="1" w:afterAutospacing="1"/>
      <w:pBdr>
        <w:top w:val="single" w:color="000000" w:sz="4" w:space="0"/>
        <w:left w:val="single" w:color="000000" w:sz="4" w:space="0"/>
        <w:bottom w:val="single" w:color="000000" w:sz="4" w:space="0"/>
      </w:pBdr>
    </w:pPr>
    <w:rPr>
      <w:rFonts w:ascii="Arial Unicode MS" w:hAnsi="Arial Unicode MS" w:eastAsia="Arial Unicode MS" w:cs="Tahoma"/>
      <w:sz w:val="24"/>
      <w:szCs w:val="24"/>
    </w:rPr>
  </w:style>
  <w:style w:type="paragraph" w:styleId="2099" w:customStyle="1">
    <w:name w:val="xl26"/>
    <w:basedOn w:val="1889"/>
    <w:qFormat/>
    <w:pPr>
      <w:jc w:val="center"/>
      <w:spacing w:beforeAutospacing="1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Arial Unicode MS" w:hAnsi="Arial Unicode MS" w:eastAsia="Arial Unicode MS" w:cs="Tahoma"/>
      <w:sz w:val="24"/>
      <w:szCs w:val="24"/>
    </w:rPr>
  </w:style>
  <w:style w:type="paragraph" w:styleId="2100" w:customStyle="1">
    <w:name w:val="xl27"/>
    <w:basedOn w:val="1889"/>
    <w:qFormat/>
    <w:pPr>
      <w:jc w:val="center"/>
      <w:spacing w:beforeAutospacing="1" w:afterAutospacing="1"/>
      <w:pBdr>
        <w:left w:val="single" w:color="000000" w:sz="4" w:space="0"/>
        <w:bottom w:val="single" w:color="000000" w:sz="4" w:space="0"/>
      </w:pBdr>
    </w:pPr>
    <w:rPr>
      <w:rFonts w:ascii="Arial Unicode MS" w:hAnsi="Arial Unicode MS" w:eastAsia="Arial Unicode MS" w:cs="Tahoma"/>
      <w:sz w:val="24"/>
      <w:szCs w:val="24"/>
    </w:rPr>
  </w:style>
  <w:style w:type="paragraph" w:styleId="2101" w:customStyle="1">
    <w:name w:val="xl28"/>
    <w:basedOn w:val="1889"/>
    <w:qFormat/>
    <w:pPr>
      <w:jc w:val="center"/>
      <w:spacing w:beforeAutospacing="1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Arial Unicode MS" w:hAnsi="Arial Unicode MS" w:eastAsia="Arial Unicode MS" w:cs="Tahoma"/>
      <w:sz w:val="24"/>
      <w:szCs w:val="24"/>
    </w:rPr>
  </w:style>
  <w:style w:type="paragraph" w:styleId="2102" w:customStyle="1">
    <w:name w:val="xl29"/>
    <w:basedOn w:val="1889"/>
    <w:qFormat/>
    <w:pPr>
      <w:jc w:val="center"/>
      <w:spacing w:beforeAutospacing="1" w:afterAutospacing="1"/>
      <w:pBdr>
        <w:top w:val="single" w:color="000000" w:sz="4" w:space="0"/>
        <w:left w:val="single" w:color="000000" w:sz="4" w:space="0"/>
        <w:bottom w:val="single" w:color="000000" w:sz="4" w:space="0"/>
      </w:pBdr>
    </w:pPr>
    <w:rPr>
      <w:rFonts w:ascii="Arial Unicode MS" w:hAnsi="Arial Unicode MS" w:eastAsia="Arial Unicode MS" w:cs="Tahoma"/>
      <w:sz w:val="24"/>
      <w:szCs w:val="24"/>
    </w:rPr>
  </w:style>
  <w:style w:type="paragraph" w:styleId="2103" w:customStyle="1">
    <w:name w:val="xl30"/>
    <w:basedOn w:val="1889"/>
    <w:qFormat/>
    <w:pPr>
      <w:jc w:val="center"/>
      <w:spacing w:beforeAutospacing="1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Arial Unicode MS" w:hAnsi="Arial Unicode MS" w:eastAsia="Arial Unicode MS" w:cs="Tahoma"/>
      <w:sz w:val="24"/>
      <w:szCs w:val="24"/>
    </w:rPr>
  </w:style>
  <w:style w:type="paragraph" w:styleId="2104" w:customStyle="1">
    <w:name w:val="xl31"/>
    <w:basedOn w:val="1889"/>
    <w:qFormat/>
    <w:pPr>
      <w:jc w:val="center"/>
      <w:spacing w:beforeAutospacing="1" w:afterAutospacing="1"/>
      <w:pBdr>
        <w:top w:val="single" w:color="000000" w:sz="4" w:space="0"/>
        <w:left w:val="single" w:color="000000" w:sz="4" w:space="0"/>
        <w:bottom w:val="single" w:color="000000" w:sz="4" w:space="0"/>
      </w:pBdr>
    </w:pPr>
    <w:rPr>
      <w:rFonts w:ascii="Arial Unicode MS" w:hAnsi="Arial Unicode MS" w:eastAsia="Arial Unicode MS" w:cs="Tahoma"/>
      <w:sz w:val="24"/>
      <w:szCs w:val="24"/>
    </w:rPr>
  </w:style>
  <w:style w:type="paragraph" w:styleId="2105" w:customStyle="1">
    <w:name w:val="xl32"/>
    <w:basedOn w:val="1889"/>
    <w:qFormat/>
    <w:pPr>
      <w:jc w:val="center"/>
      <w:spacing w:beforeAutospacing="1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ascii="Arial Unicode MS" w:hAnsi="Arial Unicode MS" w:eastAsia="Arial Unicode MS" w:cs="Tahoma"/>
      <w:sz w:val="24"/>
      <w:szCs w:val="24"/>
    </w:rPr>
  </w:style>
  <w:style w:type="paragraph" w:styleId="2106" w:customStyle="1">
    <w:name w:val="xl33"/>
    <w:basedOn w:val="1889"/>
    <w:qFormat/>
    <w:pPr>
      <w:spacing w:beforeAutospacing="1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 w:cs="Tahoma"/>
      <w:b/>
      <w:bCs/>
      <w:sz w:val="24"/>
      <w:szCs w:val="24"/>
    </w:rPr>
  </w:style>
  <w:style w:type="paragraph" w:styleId="2107" w:customStyle="1">
    <w:name w:val="xl34"/>
    <w:basedOn w:val="1889"/>
    <w:qFormat/>
    <w:pPr>
      <w:spacing w:beforeAutospacing="1" w:afterAutospacing="1"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 w:cs="Tahoma"/>
      <w:b/>
      <w:bCs/>
      <w:sz w:val="24"/>
      <w:szCs w:val="24"/>
    </w:rPr>
  </w:style>
  <w:style w:type="paragraph" w:styleId="2108">
    <w:name w:val="toc 8"/>
    <w:basedOn w:val="1889"/>
    <w:uiPriority w:val="39"/>
    <w:pPr>
      <w:ind w:left="1680"/>
    </w:pPr>
    <w:rPr>
      <w:sz w:val="24"/>
      <w:szCs w:val="24"/>
    </w:rPr>
  </w:style>
  <w:style w:type="paragraph" w:styleId="2109" w:customStyle="1">
    <w:name w:val="Основной текст 31"/>
    <w:basedOn w:val="1889"/>
    <w:qFormat/>
    <w:pPr>
      <w:ind w:left="283"/>
      <w:spacing w:before="0" w:after="120"/>
    </w:pPr>
    <w:rPr>
      <w:lang w:val="en-US"/>
    </w:rPr>
  </w:style>
  <w:style w:type="paragraph" w:styleId="2110" w:customStyle="1">
    <w:name w:val="Список источников"/>
    <w:basedOn w:val="1889"/>
    <w:qFormat/>
    <w:pPr>
      <w:ind w:left="357" w:hanging="357"/>
      <w:jc w:val="both"/>
      <w:spacing w:before="120" w:after="0" w:line="360" w:lineRule="auto"/>
      <w:tabs>
        <w:tab w:val="left" w:pos="357" w:leader="none"/>
        <w:tab w:val="clear" w:pos="709" w:leader="none"/>
      </w:tabs>
    </w:pPr>
    <w:rPr>
      <w:sz w:val="24"/>
    </w:rPr>
  </w:style>
  <w:style w:type="paragraph" w:styleId="2111" w:customStyle="1">
    <w:name w:val="Основной текст док."/>
    <w:basedOn w:val="1889"/>
    <w:qFormat/>
    <w:pPr>
      <w:ind w:firstLine="567"/>
      <w:jc w:val="both"/>
      <w:spacing w:before="60" w:after="60" w:line="360" w:lineRule="auto"/>
    </w:pPr>
    <w:rPr>
      <w:sz w:val="24"/>
    </w:rPr>
  </w:style>
  <w:style w:type="paragraph" w:styleId="2112" w:customStyle="1">
    <w:name w:val="font0"/>
    <w:basedOn w:val="1889"/>
    <w:qFormat/>
    <w:pPr>
      <w:spacing w:beforeAutospacing="1" w:afterAutospacing="1"/>
    </w:pPr>
    <w:rPr>
      <w:rFonts w:ascii="Arial CYR" w:hAnsi="Arial CYR" w:eastAsia="Arial Unicode MS" w:cs="Arial CYR"/>
    </w:rPr>
  </w:style>
  <w:style w:type="paragraph" w:styleId="2113" w:customStyle="1">
    <w:name w:val="font5"/>
    <w:basedOn w:val="1889"/>
    <w:qFormat/>
    <w:pPr>
      <w:spacing w:beforeAutospacing="1" w:afterAutospacing="1"/>
    </w:pPr>
    <w:rPr>
      <w:rFonts w:ascii="Arial CYR" w:hAnsi="Arial CYR" w:eastAsia="Arial Unicode MS" w:cs="Arial CYR"/>
    </w:rPr>
  </w:style>
  <w:style w:type="paragraph" w:styleId="2114" w:customStyle="1">
    <w:name w:val="xl24"/>
    <w:basedOn w:val="1889"/>
    <w:qFormat/>
    <w:pPr>
      <w:spacing w:beforeAutospacing="1" w:afterAutospacing="1"/>
      <w:pBdr>
        <w:top w:val="single" w:color="000000" w:sz="8" w:space="0"/>
        <w:left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15" w:customStyle="1">
    <w:name w:val="xl35"/>
    <w:basedOn w:val="1889"/>
    <w:qFormat/>
    <w:pPr>
      <w:jc w:val="right"/>
      <w:spacing w:beforeAutospacing="1" w:afterAutospacing="1"/>
      <w:pBdr>
        <w:left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16" w:customStyle="1">
    <w:name w:val="xl36"/>
    <w:basedOn w:val="1889"/>
    <w:qFormat/>
    <w:pPr>
      <w:jc w:val="right"/>
      <w:spacing w:beforeAutospacing="1" w:afterAutospacing="1"/>
      <w:pBdr>
        <w:top w:val="single" w:color="000000" w:sz="8" w:space="0"/>
        <w:left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17" w:customStyle="1">
    <w:name w:val="xl37"/>
    <w:basedOn w:val="1889"/>
    <w:qFormat/>
    <w:pPr>
      <w:spacing w:beforeAutospacing="1" w:afterAutospacing="1"/>
      <w:pBdr>
        <w:left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18" w:customStyle="1">
    <w:name w:val="xl38"/>
    <w:basedOn w:val="1889"/>
    <w:qFormat/>
    <w:pPr>
      <w:spacing w:beforeAutospacing="1" w:afterAutospacing="1"/>
      <w:pBdr>
        <w:left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19" w:customStyle="1">
    <w:name w:val="xl39"/>
    <w:basedOn w:val="1889"/>
    <w:qFormat/>
    <w:pPr>
      <w:jc w:val="center"/>
      <w:spacing w:beforeAutospacing="1" w:afterAutospacing="1"/>
      <w:pBdr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20" w:customStyle="1">
    <w:name w:val="xl40"/>
    <w:basedOn w:val="1889"/>
    <w:qFormat/>
    <w:pPr>
      <w:jc w:val="center"/>
      <w:spacing w:beforeAutospacing="1" w:afterAutospacing="1"/>
      <w:pBdr>
        <w:bottom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21" w:customStyle="1">
    <w:name w:val="xl41"/>
    <w:basedOn w:val="1889"/>
    <w:qFormat/>
    <w:pPr>
      <w:jc w:val="center"/>
      <w:spacing w:beforeAutospacing="1" w:afterAutospacing="1"/>
      <w:pBdr>
        <w:left w:val="single" w:color="000000" w:sz="8" w:space="0"/>
        <w:right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22" w:customStyle="1">
    <w:name w:val="xl42"/>
    <w:basedOn w:val="1889"/>
    <w:qFormat/>
    <w:pPr>
      <w:jc w:val="center"/>
      <w:spacing w:beforeAutospacing="1" w:afterAutospacing="1"/>
    </w:pPr>
    <w:rPr>
      <w:rFonts w:ascii="Arial Unicode MS" w:hAnsi="Arial Unicode MS" w:eastAsia="Arial Unicode MS" w:cs="Arial Unicode MS"/>
      <w:sz w:val="24"/>
      <w:szCs w:val="24"/>
    </w:rPr>
  </w:style>
  <w:style w:type="paragraph" w:styleId="2123" w:customStyle="1">
    <w:name w:val="xl43"/>
    <w:basedOn w:val="1889"/>
    <w:qFormat/>
    <w:pPr>
      <w:jc w:val="center"/>
      <w:spacing w:beforeAutospacing="1" w:afterAutospacing="1"/>
      <w:pBdr>
        <w:left w:val="single" w:color="000000" w:sz="8" w:space="0"/>
        <w:right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24" w:customStyle="1">
    <w:name w:val="xl44"/>
    <w:basedOn w:val="1889"/>
    <w:qFormat/>
    <w:pPr>
      <w:jc w:val="center"/>
      <w:spacing w:beforeAutospacing="1" w:afterAutospacing="1"/>
    </w:pPr>
    <w:rPr>
      <w:rFonts w:ascii="Arial Unicode MS" w:hAnsi="Arial Unicode MS" w:eastAsia="Arial Unicode MS" w:cs="Arial Unicode MS"/>
      <w:sz w:val="24"/>
      <w:szCs w:val="24"/>
    </w:rPr>
  </w:style>
  <w:style w:type="paragraph" w:styleId="2125" w:customStyle="1">
    <w:name w:val="xl45"/>
    <w:basedOn w:val="1889"/>
    <w:qFormat/>
    <w:pPr>
      <w:jc w:val="center"/>
      <w:spacing w:beforeAutospacing="1" w:afterAutospacing="1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26" w:customStyle="1">
    <w:name w:val="xl46"/>
    <w:basedOn w:val="1889"/>
    <w:qFormat/>
    <w:pPr>
      <w:jc w:val="center"/>
      <w:spacing w:beforeAutospacing="1" w:afterAutospacing="1"/>
      <w:pBdr>
        <w:top w:val="single" w:color="000000" w:sz="8" w:space="0"/>
        <w:bottom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27" w:customStyle="1">
    <w:name w:val="xl47"/>
    <w:basedOn w:val="1889"/>
    <w:qFormat/>
    <w:pPr>
      <w:jc w:val="center"/>
      <w:spacing w:beforeAutospacing="1" w:afterAutospacing="1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28" w:customStyle="1">
    <w:name w:val="xl48"/>
    <w:basedOn w:val="1889"/>
    <w:qFormat/>
    <w:pPr>
      <w:jc w:val="center"/>
      <w:spacing w:beforeAutospacing="1" w:afterAutospacing="1"/>
      <w:pBdr>
        <w:top w:val="single" w:color="000000" w:sz="8" w:space="0"/>
        <w:bottom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29" w:customStyle="1">
    <w:name w:val="xl49"/>
    <w:basedOn w:val="1889"/>
    <w:qFormat/>
    <w:pPr>
      <w:spacing w:beforeAutospacing="1" w:afterAutospacing="1"/>
      <w:pBdr>
        <w:top w:val="single" w:color="000000" w:sz="8" w:space="0"/>
        <w:left w:val="single" w:color="000000" w:sz="8" w:space="0"/>
        <w:bottom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30" w:customStyle="1">
    <w:name w:val="xl50"/>
    <w:basedOn w:val="1889"/>
    <w:qFormat/>
    <w:pPr>
      <w:jc w:val="right"/>
      <w:spacing w:beforeAutospacing="1" w:afterAutospacing="1"/>
      <w:pBdr>
        <w:left w:val="single" w:color="000000" w:sz="8" w:space="0"/>
        <w:bottom w:val="single" w:color="000000" w:sz="4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31" w:customStyle="1">
    <w:name w:val="xl51"/>
    <w:basedOn w:val="1889"/>
    <w:qFormat/>
    <w:pPr>
      <w:jc w:val="center"/>
      <w:spacing w:beforeAutospacing="1" w:afterAutospacing="1"/>
      <w:pBdr>
        <w:left w:val="single" w:color="000000" w:sz="8" w:space="0"/>
        <w:bottom w:val="single" w:color="000000" w:sz="4" w:space="0"/>
        <w:right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32" w:customStyle="1">
    <w:name w:val="xl52"/>
    <w:basedOn w:val="1889"/>
    <w:qFormat/>
    <w:pPr>
      <w:jc w:val="center"/>
      <w:spacing w:beforeAutospacing="1" w:afterAutospacing="1"/>
      <w:pBdr>
        <w:bottom w:val="single" w:color="000000" w:sz="4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33" w:customStyle="1">
    <w:name w:val="xl53"/>
    <w:basedOn w:val="1889"/>
    <w:qFormat/>
    <w:pPr>
      <w:jc w:val="center"/>
      <w:spacing w:beforeAutospacing="1" w:afterAutospacing="1"/>
      <w:pBdr>
        <w:left w:val="single" w:color="000000" w:sz="8" w:space="0"/>
        <w:bottom w:val="single" w:color="000000" w:sz="4" w:space="0"/>
        <w:right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34" w:customStyle="1">
    <w:name w:val="xl54"/>
    <w:basedOn w:val="1889"/>
    <w:qFormat/>
    <w:pPr>
      <w:spacing w:beforeAutospacing="1" w:afterAutospacing="1"/>
      <w:pBdr>
        <w:top w:val="single" w:color="000000" w:sz="8" w:space="0"/>
        <w:left w:val="single" w:color="000000" w:sz="8" w:space="0"/>
        <w:bottom w:val="single" w:color="000000" w:sz="4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35" w:customStyle="1">
    <w:name w:val="xl55"/>
    <w:basedOn w:val="1889"/>
    <w:qFormat/>
    <w:pPr>
      <w:jc w:val="center"/>
      <w:spacing w:beforeAutospacing="1" w:afterAutospacing="1"/>
      <w:pBdr>
        <w:top w:val="single" w:color="000000" w:sz="8" w:space="0"/>
        <w:left w:val="single" w:color="000000" w:sz="8" w:space="0"/>
        <w:bottom w:val="single" w:color="000000" w:sz="4" w:space="0"/>
        <w:right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36" w:customStyle="1">
    <w:name w:val="xl56"/>
    <w:basedOn w:val="1889"/>
    <w:qFormat/>
    <w:pPr>
      <w:jc w:val="center"/>
      <w:spacing w:beforeAutospacing="1" w:afterAutospacing="1"/>
      <w:pBdr>
        <w:top w:val="single" w:color="000000" w:sz="8" w:space="0"/>
        <w:bottom w:val="single" w:color="000000" w:sz="4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37" w:customStyle="1">
    <w:name w:val="xl57"/>
    <w:basedOn w:val="1889"/>
    <w:qFormat/>
    <w:pPr>
      <w:jc w:val="center"/>
      <w:spacing w:beforeAutospacing="1" w:afterAutospacing="1"/>
      <w:pBdr>
        <w:top w:val="single" w:color="000000" w:sz="8" w:space="0"/>
        <w:left w:val="single" w:color="000000" w:sz="8" w:space="0"/>
        <w:bottom w:val="single" w:color="000000" w:sz="4" w:space="0"/>
        <w:right w:val="single" w:color="000000" w:sz="8" w:space="0"/>
      </w:pBdr>
    </w:pPr>
    <w:rPr>
      <w:rFonts w:ascii="Arial Unicode MS" w:hAnsi="Arial Unicode MS" w:eastAsia="Arial Unicode MS" w:cs="Arial Unicode MS"/>
      <w:sz w:val="24"/>
      <w:szCs w:val="24"/>
    </w:rPr>
  </w:style>
  <w:style w:type="paragraph" w:styleId="2138" w:customStyle="1">
    <w:name w:val="Нум. подсписок"/>
    <w:basedOn w:val="2010"/>
    <w:qFormat/>
    <w:pPr>
      <w:numPr>
        <w:ilvl w:val="0"/>
        <w:numId w:val="3"/>
      </w:numPr>
      <w:spacing w:before="60" w:after="60"/>
      <w:tabs>
        <w:tab w:val="left" w:pos="680" w:leader="none"/>
        <w:tab w:val="clear" w:pos="709" w:leader="none"/>
      </w:tabs>
      <w:outlineLvl w:val="9"/>
    </w:pPr>
    <w:rPr>
      <w:sz w:val="24"/>
      <w:szCs w:val="24"/>
    </w:rPr>
  </w:style>
  <w:style w:type="paragraph" w:styleId="2139" w:customStyle="1">
    <w:name w:val="заголовок 31"/>
    <w:basedOn w:val="1889"/>
    <w:qFormat/>
    <w:pPr>
      <w:keepNext/>
      <w:spacing w:before="240" w:after="60"/>
      <w:widowControl w:val="off"/>
    </w:pPr>
    <w:rPr>
      <w:sz w:val="24"/>
    </w:rPr>
  </w:style>
  <w:style w:type="paragraph" w:styleId="2140">
    <w:name w:val="Plain Text"/>
    <w:basedOn w:val="1889"/>
    <w:uiPriority w:val="99"/>
    <w:qFormat/>
    <w:rPr>
      <w:rFonts w:ascii="Courier New" w:hAnsi="Courier New"/>
    </w:rPr>
  </w:style>
  <w:style w:type="paragraph" w:styleId="2141" w:customStyle="1">
    <w:name w:val="çàãîëîâîê 1"/>
    <w:basedOn w:val="1889"/>
    <w:qFormat/>
    <w:pPr>
      <w:jc w:val="center"/>
      <w:keepNext/>
    </w:pPr>
    <w:rPr>
      <w:sz w:val="24"/>
    </w:rPr>
  </w:style>
  <w:style w:type="paragraph" w:styleId="2142" w:customStyle="1">
    <w:name w:val="Основной текст.Iniiaiie oaeno Ciae Ciae.Основной текст Знак Знак"/>
    <w:basedOn w:val="1889"/>
    <w:qFormat/>
    <w:pPr>
      <w:jc w:val="both"/>
      <w:spacing w:before="120" w:after="120" w:line="300" w:lineRule="exact"/>
    </w:pPr>
    <w:rPr>
      <w:sz w:val="24"/>
      <w:szCs w:val="24"/>
    </w:rPr>
  </w:style>
  <w:style w:type="paragraph" w:styleId="2143" w:customStyle="1">
    <w:name w:val="Основной текст.Основной текст Знак Знак.Iniiaiie oaeno Ciae Ciae"/>
    <w:basedOn w:val="1889"/>
    <w:qFormat/>
    <w:pPr>
      <w:jc w:val="both"/>
      <w:spacing w:before="120" w:after="120" w:line="300" w:lineRule="exact"/>
    </w:pPr>
    <w:rPr>
      <w:sz w:val="24"/>
    </w:rPr>
  </w:style>
  <w:style w:type="paragraph" w:styleId="2144" w:customStyle="1">
    <w:name w:val="Заголовок1"/>
    <w:basedOn w:val="1889"/>
    <w:qFormat/>
    <w:pPr>
      <w:jc w:val="center"/>
      <w:keepLines/>
      <w:spacing w:line="360" w:lineRule="auto"/>
    </w:pPr>
    <w:rPr>
      <w:rFonts w:ascii="Arial" w:hAnsi="Arial" w:eastAsia="MS Mincho" w:cs="Franklin Gothic Book"/>
      <w:b/>
      <w:sz w:val="28"/>
      <w:lang w:val="en-US" w:eastAsia="en-US"/>
    </w:rPr>
  </w:style>
  <w:style w:type="paragraph" w:styleId="2145" w:customStyle="1">
    <w:name w:val="Стиль Заголовок 2 + Перед:  6 пт"/>
    <w:basedOn w:val="1891"/>
    <w:qFormat/>
    <w:pPr>
      <w:spacing w:before="120" w:after="360" w:line="240" w:lineRule="auto"/>
    </w:pPr>
    <w:rPr>
      <w:rFonts w:ascii="Times New Roman" w:hAnsi="Times New Roman"/>
      <w:sz w:val="24"/>
    </w:rPr>
  </w:style>
  <w:style w:type="paragraph" w:styleId="2146" w:customStyle="1">
    <w:name w:val="Список_1"/>
    <w:basedOn w:val="1889"/>
    <w:qFormat/>
    <w:pPr>
      <w:numPr>
        <w:ilvl w:val="0"/>
        <w:numId w:val="5"/>
      </w:numPr>
      <w:jc w:val="both"/>
      <w:spacing w:before="0" w:after="60"/>
    </w:pPr>
    <w:rPr>
      <w:sz w:val="24"/>
      <w:szCs w:val="24"/>
    </w:rPr>
  </w:style>
  <w:style w:type="paragraph" w:styleId="2147" w:customStyle="1">
    <w:name w:val="Список_4"/>
    <w:basedOn w:val="1889"/>
    <w:qFormat/>
    <w:pPr>
      <w:numPr>
        <w:ilvl w:val="1"/>
        <w:numId w:val="5"/>
      </w:numPr>
      <w:jc w:val="both"/>
      <w:spacing w:before="0" w:after="60"/>
      <w:tabs>
        <w:tab w:val="clear" w:pos="709" w:leader="none"/>
        <w:tab w:val="left" w:pos="1134" w:leader="none"/>
      </w:tabs>
    </w:pPr>
    <w:rPr>
      <w:sz w:val="24"/>
      <w:szCs w:val="24"/>
    </w:rPr>
  </w:style>
  <w:style w:type="paragraph" w:styleId="2148" w:customStyle="1">
    <w:name w:val="Титул_назв"/>
    <w:basedOn w:val="1889"/>
    <w:qFormat/>
    <w:pPr>
      <w:jc w:val="center"/>
    </w:pPr>
    <w:rPr>
      <w:rFonts w:ascii="Arial" w:hAnsi="Arial"/>
      <w:sz w:val="40"/>
      <w:szCs w:val="24"/>
    </w:rPr>
  </w:style>
  <w:style w:type="paragraph" w:styleId="2149">
    <w:name w:val="Normal (Web)"/>
    <w:basedOn w:val="1889"/>
    <w:qFormat/>
    <w:pPr>
      <w:spacing w:beforeAutospacing="1" w:afterAutospacing="1"/>
    </w:pPr>
    <w:rPr>
      <w:sz w:val="24"/>
      <w:szCs w:val="24"/>
    </w:rPr>
  </w:style>
  <w:style w:type="paragraph" w:styleId="2150" w:customStyle="1">
    <w:name w:val="Стиль2"/>
    <w:basedOn w:val="1889"/>
    <w:qFormat/>
    <w:pPr>
      <w:jc w:val="center"/>
      <w:spacing w:before="40" w:after="40"/>
    </w:pPr>
    <w:rPr>
      <w:rFonts w:eastAsia="Arial Unicode MS" w:cs="Arial Unicode MS"/>
      <w:sz w:val="24"/>
      <w:szCs w:val="24"/>
    </w:rPr>
  </w:style>
  <w:style w:type="paragraph" w:styleId="2151" w:customStyle="1">
    <w:name w:val="Стиль3"/>
    <w:basedOn w:val="1889"/>
    <w:qFormat/>
    <w:pPr>
      <w:jc w:val="center"/>
      <w:keepNext/>
      <w:spacing w:before="120" w:after="120"/>
      <w:widowControl w:val="off"/>
      <w:tabs>
        <w:tab w:val="clear" w:pos="709" w:leader="none"/>
        <w:tab w:val="left" w:pos="1418" w:leader="none"/>
        <w:tab w:val="left" w:pos="7938" w:leader="dot"/>
      </w:tabs>
    </w:pPr>
    <w:rPr>
      <w:b/>
      <w:sz w:val="24"/>
      <w:szCs w:val="24"/>
    </w:rPr>
  </w:style>
  <w:style w:type="paragraph" w:styleId="2152" w:customStyle="1">
    <w:name w:val="Титул_верх"/>
    <w:basedOn w:val="1889"/>
    <w:qFormat/>
    <w:pPr>
      <w:jc w:val="center"/>
    </w:pPr>
    <w:rPr>
      <w:rFonts w:ascii="Arial" w:hAnsi="Arial"/>
      <w:sz w:val="32"/>
      <w:szCs w:val="24"/>
    </w:rPr>
  </w:style>
  <w:style w:type="paragraph" w:styleId="2153" w:customStyle="1">
    <w:name w:val="Список_5"/>
    <w:qFormat/>
    <w:pPr>
      <w:numPr>
        <w:ilvl w:val="0"/>
        <w:numId w:val="6"/>
      </w:numPr>
      <w:jc w:val="both"/>
      <w:spacing w:before="120" w:after="120"/>
      <w:widowControl/>
    </w:pPr>
    <w:rPr>
      <w:rFonts w:ascii="Times New Roman" w:hAnsi="Times New Roman" w:eastAsia="Times New Roman" w:cs="Times New Roman"/>
      <w:color w:val="auto"/>
      <w:sz w:val="24"/>
      <w:szCs w:val="20"/>
      <w:lang w:val="ru-RU" w:eastAsia="ru-RU" w:bidi="ar-SA"/>
    </w:rPr>
  </w:style>
  <w:style w:type="paragraph" w:styleId="2154" w:customStyle="1">
    <w:name w:val="Список_2"/>
    <w:basedOn w:val="1999"/>
    <w:qFormat/>
    <w:pPr>
      <w:numPr>
        <w:ilvl w:val="0"/>
        <w:numId w:val="7"/>
      </w:numPr>
      <w:spacing w:before="120" w:after="60" w:line="240" w:lineRule="auto"/>
    </w:pPr>
  </w:style>
  <w:style w:type="paragraph" w:styleId="2155" w:customStyle="1">
    <w:name w:val="Стиль Список_1 + Междустр.интервал:  полуторный"/>
    <w:basedOn w:val="2146"/>
    <w:qFormat/>
    <w:pPr>
      <w:numPr>
        <w:ilvl w:val="0"/>
        <w:numId w:val="0"/>
      </w:numPr>
      <w:spacing w:before="60" w:after="60"/>
    </w:pPr>
    <w:rPr>
      <w:szCs w:val="20"/>
    </w:rPr>
  </w:style>
  <w:style w:type="paragraph" w:styleId="2156" w:customStyle="1">
    <w:name w:val="Без интервала1"/>
    <w:qFormat/>
    <w:pPr>
      <w:jc w:val="left"/>
      <w:spacing w:before="0" w:after="0"/>
      <w:widowControl/>
    </w:pPr>
    <w:rPr>
      <w:rFonts w:ascii="Calibri" w:hAnsi="Calibri" w:eastAsia="Times New Roman" w:cs="Times New Roman"/>
      <w:color w:val="auto"/>
      <w:sz w:val="22"/>
      <w:szCs w:val="22"/>
      <w:lang w:val="ru-RU" w:eastAsia="en-US" w:bidi="ar-SA"/>
    </w:rPr>
  </w:style>
  <w:style w:type="paragraph" w:styleId="2157">
    <w:name w:val="annotation text"/>
    <w:basedOn w:val="1889"/>
    <w:uiPriority w:val="99"/>
    <w:qFormat/>
  </w:style>
  <w:style w:type="paragraph" w:styleId="2158" w:customStyle="1">
    <w:name w:val="Маркированный текст 2"/>
    <w:basedOn w:val="1889"/>
    <w:qFormat/>
    <w:pPr>
      <w:numPr>
        <w:ilvl w:val="0"/>
        <w:numId w:val="8"/>
      </w:numPr>
      <w:jc w:val="both"/>
      <w:spacing w:before="120" w:after="120" w:line="300" w:lineRule="exact"/>
    </w:pPr>
    <w:rPr>
      <w:sz w:val="24"/>
      <w:szCs w:val="24"/>
    </w:rPr>
  </w:style>
  <w:style w:type="paragraph" w:styleId="2159" w:customStyle="1">
    <w:name w:val="Таблица 12 по центру"/>
    <w:basedOn w:val="1889"/>
    <w:qFormat/>
    <w:pPr>
      <w:jc w:val="center"/>
    </w:pPr>
    <w:rPr>
      <w:sz w:val="24"/>
      <w:szCs w:val="24"/>
    </w:rPr>
  </w:style>
  <w:style w:type="paragraph" w:styleId="2160" w:customStyle="1">
    <w:name w:val="Маркированный текст"/>
    <w:basedOn w:val="1889"/>
    <w:qFormat/>
    <w:pPr>
      <w:ind w:left="850" w:hanging="283"/>
      <w:jc w:val="both"/>
      <w:spacing w:line="300" w:lineRule="exact"/>
    </w:pPr>
    <w:rPr>
      <w:sz w:val="24"/>
      <w:szCs w:val="24"/>
    </w:rPr>
  </w:style>
  <w:style w:type="paragraph" w:styleId="2161" w:customStyle="1">
    <w:name w:val="Таблица шапка"/>
    <w:basedOn w:val="1889"/>
    <w:qFormat/>
    <w:pPr>
      <w:jc w:val="center"/>
    </w:pPr>
    <w:rPr>
      <w:b/>
    </w:rPr>
  </w:style>
  <w:style w:type="paragraph" w:styleId="2162" w:customStyle="1">
    <w:name w:val="Таблица заголовок"/>
    <w:basedOn w:val="1889"/>
    <w:qFormat/>
    <w:pPr>
      <w:spacing w:before="120" w:after="120" w:line="300" w:lineRule="exact"/>
    </w:pPr>
    <w:rPr>
      <w:b/>
      <w:sz w:val="24"/>
      <w:szCs w:val="24"/>
    </w:rPr>
  </w:style>
  <w:style w:type="paragraph" w:styleId="2163">
    <w:name w:val="TOC Heading"/>
    <w:basedOn w:val="1890"/>
    <w:uiPriority w:val="39"/>
    <w:qFormat/>
    <w:pPr>
      <w:numPr>
        <w:ilvl w:val="0"/>
        <w:numId w:val="0"/>
      </w:numPr>
      <w:jc w:val="left"/>
      <w:keepLines/>
      <w:pageBreakBefore w:val="0"/>
      <w:spacing w:before="480" w:after="0" w:line="276" w:lineRule="auto"/>
      <w:outlineLvl w:val="9"/>
    </w:pPr>
    <w:rPr>
      <w:rFonts w:ascii="Cambria" w:hAnsi="Cambria"/>
      <w:bCs/>
      <w:caps w:val="0"/>
      <w:smallCaps w:val="0"/>
      <w:color w:val="365f91"/>
      <w:spacing w:val="0"/>
      <w:sz w:val="28"/>
      <w:szCs w:val="28"/>
    </w:rPr>
  </w:style>
  <w:style w:type="paragraph" w:styleId="2164">
    <w:name w:val="toa heading"/>
    <w:basedOn w:val="1889"/>
    <w:qFormat/>
    <w:pPr>
      <w:spacing w:before="120" w:after="0"/>
    </w:pPr>
    <w:rPr>
      <w:rFonts w:ascii="Cambria" w:hAnsi="Cambria"/>
      <w:b/>
      <w:bCs/>
      <w:sz w:val="24"/>
      <w:szCs w:val="24"/>
    </w:rPr>
  </w:style>
  <w:style w:type="paragraph" w:styleId="2165">
    <w:name w:val="No Spacing"/>
    <w:uiPriority w:val="1"/>
    <w:qFormat/>
    <w:pPr>
      <w:jc w:val="left"/>
      <w:spacing w:before="0" w:after="0"/>
      <w:widowControl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paragraph" w:styleId="2166" w:customStyle="1">
    <w:name w:val="Названия"/>
    <w:qFormat/>
    <w:pPr>
      <w:jc w:val="center"/>
      <w:spacing w:before="0" w:after="240"/>
      <w:widowControl/>
    </w:pPr>
    <w:rPr>
      <w:rFonts w:ascii="Times New Roman" w:hAnsi="Times New Roman" w:eastAsia="Calibri" w:cs="Times New Roman"/>
      <w:b/>
      <w:color w:val="auto"/>
      <w:sz w:val="24"/>
      <w:szCs w:val="24"/>
      <w:lang w:val="ru-RU" w:eastAsia="en-US" w:bidi="ar-SA"/>
    </w:rPr>
  </w:style>
  <w:style w:type="paragraph" w:styleId="2167" w:customStyle="1">
    <w:name w:val="Абзац"/>
    <w:qFormat/>
    <w:pPr>
      <w:ind w:firstLine="720"/>
      <w:jc w:val="both"/>
      <w:spacing w:before="0" w:after="0" w:line="360" w:lineRule="auto"/>
      <w:widowControl/>
    </w:pPr>
    <w:rPr>
      <w:rFonts w:ascii="Times New Roman" w:hAnsi="Times New Roman" w:eastAsia="Times New Roman" w:cs="Arial"/>
      <w:color w:val="auto"/>
      <w:sz w:val="24"/>
      <w:szCs w:val="26"/>
      <w:lang w:val="ru-RU" w:eastAsia="ru-RU" w:bidi="ar-SA"/>
    </w:rPr>
  </w:style>
  <w:style w:type="paragraph" w:styleId="2168" w:customStyle="1">
    <w:name w:val="Таблица 1+"/>
    <w:basedOn w:val="1891"/>
    <w:qFormat/>
    <w:pPr>
      <w:jc w:val="both"/>
      <w:keepLines/>
      <w:spacing w:before="0" w:after="120" w:line="240" w:lineRule="auto"/>
    </w:pPr>
    <w:rPr>
      <w:rFonts w:ascii="Times New Roman" w:hAnsi="Times New Roman"/>
      <w:b w:val="0"/>
      <w:i w:val="0"/>
      <w:caps w:val="0"/>
      <w:smallCaps w:val="0"/>
      <w:spacing w:val="0"/>
      <w:sz w:val="24"/>
      <w:szCs w:val="26"/>
    </w:rPr>
  </w:style>
  <w:style w:type="paragraph" w:styleId="2169" w:customStyle="1">
    <w:name w:val="Основной текст5"/>
    <w:basedOn w:val="1889"/>
    <w:qFormat/>
    <w:pPr>
      <w:ind w:hanging="300"/>
      <w:jc w:val="both"/>
      <w:spacing w:before="180" w:after="60" w:line="0" w:lineRule="atLeast"/>
      <w:shd w:val="clear" w:color="auto" w:fill="ffffff"/>
      <w:widowControl w:val="off"/>
    </w:pPr>
    <w:rPr>
      <w:sz w:val="23"/>
      <w:szCs w:val="23"/>
    </w:rPr>
  </w:style>
  <w:style w:type="paragraph" w:styleId="2170">
    <w:name w:val="annotation subject"/>
    <w:basedOn w:val="2157"/>
    <w:uiPriority w:val="99"/>
    <w:qFormat/>
    <w:rPr>
      <w:b/>
      <w:bCs/>
    </w:rPr>
  </w:style>
  <w:style w:type="paragraph" w:styleId="2171">
    <w:name w:val="List Paragraph"/>
    <w:basedOn w:val="1889"/>
    <w:uiPriority w:val="34"/>
    <w:qFormat/>
    <w:pPr>
      <w:contextualSpacing/>
      <w:ind w:left="720" w:firstLine="567"/>
      <w:spacing w:before="0" w:after="0"/>
    </w:pPr>
    <w:rPr>
      <w:rFonts w:eastAsia="Calibri" w:eastAsiaTheme="minorHAnsi"/>
      <w:b/>
      <w:sz w:val="28"/>
      <w:szCs w:val="28"/>
      <w:lang w:eastAsia="en-US"/>
    </w:rPr>
  </w:style>
  <w:style w:type="paragraph" w:styleId="2172" w:customStyle="1">
    <w:name w:val="Нормальный (таблица)"/>
    <w:basedOn w:val="1889"/>
    <w:uiPriority w:val="99"/>
    <w:qFormat/>
    <w:pPr>
      <w:jc w:val="both"/>
      <w:widowControl w:val="off"/>
    </w:pPr>
    <w:rPr>
      <w:rFonts w:ascii="Arial" w:hAnsi="Arial" w:eastAsia="Arial" w:cs="Arial" w:eastAsiaTheme="minorEastAsia"/>
      <w:sz w:val="24"/>
      <w:szCs w:val="24"/>
    </w:rPr>
  </w:style>
  <w:style w:type="paragraph" w:styleId="2173">
    <w:name w:val="Revision"/>
    <w:uiPriority w:val="99"/>
    <w:semiHidden/>
    <w:qFormat/>
    <w:pPr>
      <w:jc w:val="left"/>
      <w:spacing w:before="0" w:after="0"/>
      <w:widowControl/>
    </w:pPr>
    <w:rPr>
      <w:rFonts w:ascii="Times New Roman" w:hAnsi="Times New Roman" w:eastAsia="Times New Roman" w:cs="Times New Roman"/>
      <w:color w:val="auto"/>
      <w:sz w:val="20"/>
      <w:szCs w:val="20"/>
      <w:lang w:val="ru-RU" w:eastAsia="ru-RU" w:bidi="ar-SA"/>
    </w:rPr>
  </w:style>
  <w:style w:type="paragraph" w:styleId="2174" w:customStyle="1">
    <w:name w:val="имя таб«ebицы"/>
    <w:basedOn w:val="2059"/>
    <w:qFormat/>
    <w:pPr>
      <w:jc w:val="center"/>
      <w:spacing w:before="0" w:after="240" w:line="300" w:lineRule="exact"/>
    </w:pPr>
    <w:rPr>
      <w:rFonts w:ascii="Times New Roman" w:hAnsi="Times New Roman"/>
      <w:spacing w:val="0"/>
      <w:lang w:val="ru-RU"/>
    </w:rPr>
  </w:style>
  <w:style w:type="paragraph" w:styleId="2175" w:customStyle="1">
    <w:name w:val="n e eiy oaaeeou"/>
    <w:basedOn w:val="1999"/>
    <w:qFormat/>
    <w:pPr>
      <w:jc w:val="left"/>
      <w:keepNext/>
      <w:spacing w:before="360" w:after="240" w:line="240" w:lineRule="auto"/>
    </w:pPr>
    <w:rPr>
      <w:b/>
      <w:spacing w:val="10"/>
      <w:lang w:val="en-US"/>
    </w:rPr>
  </w:style>
  <w:style w:type="paragraph" w:styleId="2176" w:customStyle="1">
    <w:name w:val="Пункт 1.2"/>
    <w:basedOn w:val="1889"/>
    <w:qFormat/>
    <w:pPr>
      <w:jc w:val="both"/>
      <w:spacing w:line="360" w:lineRule="atLeast"/>
      <w:widowControl w:val="off"/>
      <w:tabs>
        <w:tab w:val="left" w:pos="360" w:leader="none"/>
        <w:tab w:val="clear" w:pos="709" w:leader="none"/>
      </w:tabs>
    </w:pPr>
    <w:rPr>
      <w:rFonts w:ascii="Arial" w:hAnsi="Arial"/>
      <w:sz w:val="22"/>
    </w:rPr>
  </w:style>
  <w:style w:type="paragraph" w:styleId="2177" w:customStyle="1">
    <w:name w:val="Style1"/>
    <w:basedOn w:val="1889"/>
    <w:uiPriority w:val="99"/>
    <w:qFormat/>
    <w:pPr>
      <w:jc w:val="both"/>
      <w:spacing w:line="278" w:lineRule="exact"/>
      <w:widowControl w:val="off"/>
    </w:pPr>
    <w:rPr>
      <w:rFonts w:eastAsia="Arial" w:eastAsiaTheme="minorEastAsia"/>
      <w:sz w:val="24"/>
      <w:szCs w:val="24"/>
    </w:rPr>
  </w:style>
  <w:style w:type="paragraph" w:styleId="2178" w:customStyle="1">
    <w:name w:val="ConsPlusTitle"/>
    <w:uiPriority w:val="99"/>
    <w:qFormat/>
    <w:pPr>
      <w:jc w:val="left"/>
      <w:spacing w:before="0" w:after="0"/>
      <w:widowControl w:val="off"/>
    </w:pPr>
    <w:rPr>
      <w:rFonts w:ascii="Calibri" w:hAnsi="Calibri" w:eastAsia="Times New Roman" w:cs="Calibri"/>
      <w:b/>
      <w:bCs/>
      <w:color w:val="auto"/>
      <w:sz w:val="22"/>
      <w:szCs w:val="22"/>
      <w:lang w:val="ru-RU" w:eastAsia="ru-RU" w:bidi="ar-SA"/>
    </w:rPr>
  </w:style>
  <w:style w:type="paragraph" w:styleId="2179" w:customStyle="1">
    <w:name w:val="ConsPlusNormal"/>
    <w:qFormat/>
    <w:pPr>
      <w:ind w:firstLine="720"/>
      <w:jc w:val="left"/>
      <w:spacing w:before="0" w:after="0"/>
      <w:widowControl w:val="off"/>
    </w:pPr>
    <w:rPr>
      <w:rFonts w:ascii="Arial" w:hAnsi="Arial" w:eastAsia="Times New Roman" w:cs="Arial"/>
      <w:color w:val="auto"/>
      <w:sz w:val="20"/>
      <w:szCs w:val="20"/>
      <w:lang w:val="ru-RU" w:eastAsia="ru-RU" w:bidi="ar-SA"/>
    </w:rPr>
  </w:style>
  <w:style w:type="paragraph" w:styleId="2180" w:customStyle="1">
    <w:name w:val="consnormal"/>
    <w:basedOn w:val="1889"/>
    <w:qFormat/>
    <w:pPr>
      <w:ind w:firstLine="451"/>
    </w:pPr>
    <w:rPr>
      <w:rFonts w:ascii="Arial" w:hAnsi="Arial" w:cs="Arial"/>
    </w:rPr>
  </w:style>
  <w:style w:type="paragraph" w:styleId="2181" w:customStyle="1">
    <w:name w:val="Средняя сетка 21"/>
    <w:uiPriority w:val="1"/>
    <w:qFormat/>
    <w:pPr>
      <w:jc w:val="left"/>
      <w:spacing w:before="0" w:after="0"/>
      <w:widowControl/>
    </w:pPr>
    <w:rPr>
      <w:rFonts w:ascii="Calibri" w:hAnsi="Calibri" w:eastAsia="Calibri" w:cs="Times New Roman"/>
      <w:color w:val="auto"/>
      <w:sz w:val="22"/>
      <w:szCs w:val="22"/>
      <w:lang w:val="ru-RU" w:eastAsia="en-US" w:bidi="ar-SA"/>
    </w:rPr>
  </w:style>
  <w:style w:type="paragraph" w:styleId="2182" w:customStyle="1">
    <w:name w:val="Прижатый влево"/>
    <w:basedOn w:val="1889"/>
    <w:uiPriority w:val="99"/>
    <w:qFormat/>
    <w:rPr>
      <w:rFonts w:ascii="Arial" w:hAnsi="Arial" w:eastAsia="Calibri" w:cs="Arial"/>
      <w:sz w:val="24"/>
      <w:szCs w:val="24"/>
    </w:rPr>
  </w:style>
  <w:style w:type="paragraph" w:styleId="2183">
    <w:name w:val="toc 5"/>
    <w:basedOn w:val="1889"/>
    <w:uiPriority w:val="39"/>
    <w:unhideWhenUsed/>
    <w:pPr>
      <w:ind w:left="880"/>
      <w:spacing w:before="0" w:after="100" w:line="276" w:lineRule="auto"/>
    </w:pPr>
    <w:rPr>
      <w:rFonts w:ascii="Calibri" w:hAnsi="Calibri" w:eastAsia="Arial" w:cs="Arial" w:asciiTheme="minorHAnsi" w:hAnsiTheme="minorHAnsi" w:eastAsiaTheme="minorEastAsia" w:cstheme="minorBidi"/>
      <w:sz w:val="22"/>
      <w:szCs w:val="22"/>
    </w:rPr>
  </w:style>
  <w:style w:type="paragraph" w:styleId="2184">
    <w:name w:val="toc 6"/>
    <w:basedOn w:val="1889"/>
    <w:uiPriority w:val="39"/>
    <w:unhideWhenUsed/>
    <w:pPr>
      <w:ind w:left="1100"/>
      <w:spacing w:before="0" w:after="100" w:line="276" w:lineRule="auto"/>
    </w:pPr>
    <w:rPr>
      <w:rFonts w:ascii="Calibri" w:hAnsi="Calibri" w:eastAsia="Arial" w:cs="Arial" w:asciiTheme="minorHAnsi" w:hAnsiTheme="minorHAnsi" w:eastAsiaTheme="minorEastAsia" w:cstheme="minorBidi"/>
      <w:sz w:val="22"/>
      <w:szCs w:val="22"/>
    </w:rPr>
  </w:style>
  <w:style w:type="paragraph" w:styleId="2185">
    <w:name w:val="toc 7"/>
    <w:basedOn w:val="1889"/>
    <w:uiPriority w:val="39"/>
    <w:unhideWhenUsed/>
    <w:pPr>
      <w:ind w:left="1320"/>
      <w:spacing w:before="0" w:after="100" w:line="276" w:lineRule="auto"/>
    </w:pPr>
    <w:rPr>
      <w:rFonts w:ascii="Calibri" w:hAnsi="Calibri" w:eastAsia="Arial" w:cs="Arial" w:asciiTheme="minorHAnsi" w:hAnsiTheme="minorHAnsi" w:eastAsiaTheme="minorEastAsia" w:cstheme="minorBidi"/>
      <w:sz w:val="22"/>
      <w:szCs w:val="22"/>
    </w:rPr>
  </w:style>
  <w:style w:type="paragraph" w:styleId="2186">
    <w:name w:val="toc 9"/>
    <w:basedOn w:val="1889"/>
    <w:uiPriority w:val="39"/>
    <w:unhideWhenUsed/>
    <w:pPr>
      <w:ind w:left="1760"/>
      <w:spacing w:before="0" w:after="100" w:line="276" w:lineRule="auto"/>
    </w:pPr>
    <w:rPr>
      <w:rFonts w:ascii="Calibri" w:hAnsi="Calibri" w:eastAsia="Arial" w:cs="Arial" w:asciiTheme="minorHAnsi" w:hAnsiTheme="minorHAnsi" w:eastAsiaTheme="minorEastAsia" w:cstheme="minorBidi"/>
      <w:sz w:val="22"/>
      <w:szCs w:val="22"/>
    </w:rPr>
  </w:style>
  <w:style w:type="paragraph" w:styleId="2187" w:customStyle="1">
    <w:name w:val="xl70"/>
    <w:basedOn w:val="1889"/>
    <w:qFormat/>
    <w:pPr>
      <w:jc w:val="center"/>
      <w:spacing w:beforeAutospacing="1" w:afterAutospacing="1"/>
      <w:pBdr>
        <w:bottom w:val="single" w:color="000000" w:sz="8" w:space="0"/>
        <w:right w:val="single" w:color="000000" w:sz="8" w:space="0"/>
      </w:pBdr>
    </w:pPr>
    <w:rPr>
      <w:color w:val="000000"/>
      <w:sz w:val="24"/>
      <w:szCs w:val="24"/>
    </w:rPr>
  </w:style>
  <w:style w:type="paragraph" w:styleId="2188" w:customStyle="1">
    <w:name w:val="xl72"/>
    <w:basedOn w:val="1889"/>
    <w:qFormat/>
    <w:pPr>
      <w:spacing w:beforeAutospacing="1" w:afterAutospacing="1"/>
      <w:pBdr>
        <w:bottom w:val="single" w:color="000000" w:sz="8" w:space="0"/>
        <w:right w:val="single" w:color="000000" w:sz="8" w:space="0"/>
      </w:pBdr>
    </w:pPr>
    <w:rPr>
      <w:sz w:val="24"/>
      <w:szCs w:val="24"/>
    </w:rPr>
  </w:style>
  <w:style w:type="paragraph" w:styleId="2189" w:customStyle="1">
    <w:name w:val="xl71"/>
    <w:basedOn w:val="1889"/>
    <w:qFormat/>
    <w:pPr>
      <w:jc w:val="center"/>
      <w:spacing w:beforeAutospacing="1" w:afterAutospacing="1"/>
      <w:pBdr>
        <w:right w:val="single" w:color="000000" w:sz="8" w:space="0"/>
      </w:pBdr>
    </w:pPr>
    <w:rPr>
      <w:sz w:val="24"/>
      <w:szCs w:val="24"/>
    </w:rPr>
  </w:style>
  <w:style w:type="paragraph" w:styleId="2190" w:customStyle="1">
    <w:name w:val="xl78"/>
    <w:basedOn w:val="1889"/>
    <w:qFormat/>
    <w:pPr>
      <w:ind w:firstLine="100"/>
      <w:spacing w:beforeAutospacing="1" w:afterAutospacing="1"/>
      <w:pBdr>
        <w:bottom w:val="single" w:color="000000" w:sz="8" w:space="0"/>
        <w:right w:val="single" w:color="000000" w:sz="8" w:space="0"/>
      </w:pBdr>
    </w:pPr>
    <w:rPr>
      <w:sz w:val="24"/>
      <w:szCs w:val="24"/>
    </w:rPr>
  </w:style>
  <w:style w:type="paragraph" w:styleId="2191" w:customStyle="1">
    <w:name w:val="Style16"/>
    <w:basedOn w:val="1889"/>
    <w:uiPriority w:val="99"/>
    <w:qFormat/>
    <w:pPr>
      <w:ind w:firstLine="542"/>
      <w:jc w:val="both"/>
      <w:spacing w:line="319" w:lineRule="exact"/>
      <w:widowControl w:val="off"/>
    </w:pPr>
    <w:rPr>
      <w:rFonts w:ascii="Franklin Gothic Medium" w:hAnsi="Franklin Gothic Medium"/>
      <w:sz w:val="24"/>
      <w:szCs w:val="24"/>
    </w:rPr>
  </w:style>
  <w:style w:type="paragraph" w:styleId="2192" w:customStyle="1">
    <w:name w:val="Style7"/>
    <w:basedOn w:val="1889"/>
    <w:uiPriority w:val="99"/>
    <w:qFormat/>
    <w:pPr>
      <w:widowControl w:val="off"/>
    </w:pPr>
    <w:rPr>
      <w:rFonts w:ascii="Franklin Gothic Medium" w:hAnsi="Franklin Gothic Medium"/>
      <w:sz w:val="24"/>
      <w:szCs w:val="24"/>
    </w:rPr>
  </w:style>
  <w:style w:type="paragraph" w:styleId="2193">
    <w:name w:val="Содержимое врезки"/>
    <w:basedOn w:val="1889"/>
    <w:qFormat/>
  </w:style>
  <w:style w:type="numbering" w:styleId="2194" w:default="1">
    <w:name w:val="Без списка"/>
    <w:uiPriority w:val="99"/>
    <w:semiHidden/>
    <w:unhideWhenUsed/>
    <w:qFormat/>
  </w:style>
  <w:style w:type="numbering" w:styleId="2195" w:customStyle="1">
    <w:name w:val="Нет списка1"/>
    <w:semiHidden/>
    <w:qFormat/>
  </w:style>
  <w:style w:type="numbering" w:styleId="2196" w:customStyle="1">
    <w:name w:val="Нет списка2"/>
    <w:uiPriority w:val="99"/>
    <w:semiHidden/>
    <w:unhideWhenUsed/>
    <w:qFormat/>
  </w:style>
  <w:style w:type="table" w:styleId="2197">
    <w:name w:val="Table Grid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198">
    <w:name w:val="Table Grid Light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199">
    <w:name w:val="Plain Table 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fill="f2f2f2" w:themeFill="text1" w:themeFillTint="00"/>
      </w:tcPr>
    </w:tblStylePr>
    <w:tblStylePr w:type="band1Vert">
      <w:tcPr>
        <w:shd w:val="clear" w:color="ffffff" w:fill="f2f2f2" w:themeFill="text1" w:themeFillTint="0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</w:tblStylePr>
    <w:tblStylePr w:type="lastCol">
      <w:rPr>
        <w:b/>
        <w:sz w:val="22"/>
      </w:rPr>
    </w:tblStylePr>
    <w:tblStylePr w:type="lastRow">
      <w:rPr>
        <w:b/>
        <w:sz w:val="22"/>
      </w:rPr>
    </w:tblStylePr>
  </w:style>
  <w:style w:type="table" w:styleId="2200">
    <w:name w:val="Plain Table 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</w:tblStylePr>
  </w:style>
  <w:style w:type="table" w:styleId="2201">
    <w:name w:val="Plain Table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cPr>
        <w:shd w:val="clear" w:color="ffffff" w:fill="f2f2f2" w:themeFill="text1" w:themeFillTint="00"/>
      </w:tcPr>
    </w:tblStylePr>
    <w:tblStylePr w:type="band1Vert">
      <w:rPr>
        <w:sz w:val="22"/>
      </w:rPr>
      <w:tcPr>
        <w:shd w:val="clear" w:color="ffffff" w:fill="f2f2f2" w:themeFill="text1" w:themeFillTint="00"/>
      </w:tcPr>
    </w:tblStylePr>
    <w:tblStylePr w:type="firstCol">
      <w:rPr>
        <w:b/>
        <w:caps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</w:tblStylePr>
    <w:tblStylePr w:type="lastRow">
      <w:rPr>
        <w:b/>
        <w:caps/>
      </w:rPr>
    </w:tblStylePr>
  </w:style>
  <w:style w:type="table" w:styleId="2202">
    <w:name w:val="Plain Table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cPr>
        <w:shd w:val="clear" w:color="ffffff" w:fill="f2f2f2" w:themeFill="text1" w:themeFillTint="00"/>
      </w:tcPr>
    </w:tblStylePr>
    <w:tblStylePr w:type="band1Vert">
      <w:rPr>
        <w:sz w:val="22"/>
      </w:rPr>
      <w:tcPr>
        <w:shd w:val="clear" w:color="ffffff" w:fill="f2f2f2" w:themeFill="text1" w:themeFillTint="00"/>
      </w:tcPr>
    </w:tblStylePr>
    <w:tblStylePr w:type="firstCol">
      <w:rPr>
        <w:b/>
      </w:rPr>
    </w:tblStylePr>
    <w:tblStylePr w:type="firstRow">
      <w:rPr>
        <w:b/>
      </w:rPr>
    </w:tblStylePr>
    <w:tblStylePr w:type="lastCol">
      <w:rPr>
        <w:b/>
      </w:rPr>
    </w:tblStylePr>
    <w:tblStylePr w:type="lastRow">
      <w:rPr>
        <w:b/>
      </w:rPr>
    </w:tblStylePr>
  </w:style>
  <w:style w:type="table" w:styleId="2203">
    <w:name w:val="Plain Table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cPr>
        <w:shd w:val="clear" w:color="ffffff" w:fill="f2f2f2" w:themeFill="text1" w:themeFillTint="00"/>
      </w:tcPr>
    </w:tblStylePr>
    <w:tblStylePr w:type="band1Vert">
      <w:rPr>
        <w:sz w:val="22"/>
      </w:rPr>
      <w:tcPr>
        <w:shd w:val="clear" w:color="ffffff" w:fill="f2f2f2" w:themeFill="text1" w:themeFillTint="00"/>
      </w:tcPr>
    </w:tblStylePr>
    <w:tblStylePr w:type="firstCol">
      <w:rPr>
        <w:i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2204">
    <w:name w:val="Grid Table 1 Light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05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06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07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08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09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10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11">
    <w:name w:val="Grid Table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cPr>
        <w:shd w:val="clear" w:color="ffffff" w:fill="cbcbcb" w:themeFill="text1" w:themeFillTint="34"/>
      </w:tcPr>
    </w:tblStylePr>
    <w:tblStylePr w:type="band1Vert">
      <w:rPr>
        <w:sz w:val="22"/>
      </w:rPr>
      <w:tcPr>
        <w:shd w:val="clear" w:color="ffffff" w:fill="cbcbcb" w:themeFill="text1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12">
    <w:name w:val="Grid Table 2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cPr>
        <w:shd w:val="clear" w:color="ffffff" w:fill="ddebf6" w:themeFill="accent1" w:themeFillTint="34"/>
      </w:tcPr>
    </w:tblStylePr>
    <w:tblStylePr w:type="band1Vert">
      <w:rPr>
        <w:sz w:val="22"/>
      </w:rPr>
      <w:tcPr>
        <w:shd w:val="clear" w:color="ffffff" w:fill="ddebf6" w:themeFill="accent1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13">
    <w:name w:val="Grid Table 2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cPr>
        <w:shd w:val="clear" w:color="ffffff" w:fill="fbe5d6" w:themeFill="accent2" w:themeFillTint="32"/>
      </w:tcPr>
    </w:tblStylePr>
    <w:tblStylePr w:type="band1Vert">
      <w:rPr>
        <w:sz w:val="22"/>
      </w:rPr>
      <w:tcPr>
        <w:shd w:val="clear" w:color="ffffff" w:fill="fbe5d6" w:themeFill="accent2" w:themeFillTint="32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14">
    <w:name w:val="Grid Table 2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cPr>
        <w:shd w:val="clear" w:color="ffffff" w:fill="ededed" w:themeFill="accent3" w:themeFillTint="34"/>
      </w:tcPr>
    </w:tblStylePr>
    <w:tblStylePr w:type="band1Vert">
      <w:rPr>
        <w:sz w:val="22"/>
      </w:rPr>
      <w:tcPr>
        <w:shd w:val="clear" w:color="ffffff" w:fill="ededed" w:themeFill="accent3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15">
    <w:name w:val="Grid Table 2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cPr>
        <w:shd w:val="clear" w:color="ffffff" w:fill="fef2cb" w:themeFill="accent4" w:themeFillTint="34"/>
      </w:tcPr>
    </w:tblStylePr>
    <w:tblStylePr w:type="band1Vert">
      <w:rPr>
        <w:sz w:val="22"/>
      </w:rPr>
      <w:tcPr>
        <w:shd w:val="clear" w:color="ffffff" w:fill="fef2cb" w:themeFill="accent4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16">
    <w:name w:val="Grid Table 2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cPr>
        <w:shd w:val="clear" w:color="ffffff" w:fill="d9e2f2" w:themeFill="accent5" w:themeFillTint="34"/>
      </w:tcPr>
    </w:tblStylePr>
    <w:tblStylePr w:type="band1Vert">
      <w:rPr>
        <w:sz w:val="22"/>
      </w:rPr>
      <w:tcPr>
        <w:shd w:val="clear" w:color="ffffff" w:fill="d9e2f2" w:themeFill="accent5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17">
    <w:name w:val="Grid Table 2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cPr>
        <w:shd w:val="clear" w:color="ffffff" w:fill="e2efd8" w:themeFill="accent6" w:themeFillTint="34"/>
      </w:tcPr>
    </w:tblStylePr>
    <w:tblStylePr w:type="band1Vert">
      <w:rPr>
        <w:sz w:val="22"/>
      </w:rPr>
      <w:tcPr>
        <w:shd w:val="clear" w:color="ffffff" w:fill="e2efd8" w:themeFill="accent6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18">
    <w:name w:val="Grid Table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cPr>
        <w:shd w:val="clear" w:color="ffffff" w:fill="cbcbcb" w:themeFill="text1" w:themeFillTint="34"/>
      </w:tcPr>
    </w:tblStylePr>
    <w:tblStylePr w:type="band1Vert">
      <w:rPr>
        <w:sz w:val="22"/>
      </w:rPr>
      <w:tcPr>
        <w:shd w:val="clear" w:color="ffffff" w:fill="cbcbcb" w:themeFill="text1" w:themeFillTint="34"/>
      </w:tcPr>
    </w:tblStylePr>
    <w:tblStylePr w:type="firstCol">
      <w:rPr>
        <w:i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19">
    <w:name w:val="Grid Table 3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cPr>
        <w:shd w:val="clear" w:color="ffffff" w:fill="ddebf6" w:themeFill="accent1" w:themeFillTint="34"/>
      </w:tcPr>
    </w:tblStylePr>
    <w:tblStylePr w:type="band1Vert">
      <w:rPr>
        <w:sz w:val="22"/>
      </w:rPr>
      <w:tcPr>
        <w:shd w:val="clear" w:color="ffffff" w:fill="ddebf6" w:themeFill="accent1" w:themeFillTint="34"/>
      </w:tcPr>
    </w:tblStylePr>
    <w:tblStylePr w:type="firstCol">
      <w:rPr>
        <w:i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20">
    <w:name w:val="Grid Table 3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cPr>
        <w:shd w:val="clear" w:color="ffffff" w:fill="fbe5d6" w:themeFill="accent2" w:themeFillTint="32"/>
      </w:tcPr>
    </w:tblStylePr>
    <w:tblStylePr w:type="band1Vert">
      <w:rPr>
        <w:sz w:val="22"/>
      </w:rPr>
      <w:tcPr>
        <w:shd w:val="clear" w:color="ffffff" w:fill="fbe5d6" w:themeFill="accent2" w:themeFillTint="32"/>
      </w:tcPr>
    </w:tblStylePr>
    <w:tblStylePr w:type="firstCol">
      <w:rPr>
        <w:i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21">
    <w:name w:val="Grid Table 3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cPr>
        <w:shd w:val="clear" w:color="ffffff" w:fill="ededed" w:themeFill="accent3" w:themeFillTint="34"/>
      </w:tcPr>
    </w:tblStylePr>
    <w:tblStylePr w:type="band1Vert">
      <w:rPr>
        <w:sz w:val="22"/>
      </w:rPr>
      <w:tcPr>
        <w:shd w:val="clear" w:color="ffffff" w:fill="ededed" w:themeFill="accent3" w:themeFillTint="34"/>
      </w:tcPr>
    </w:tblStylePr>
    <w:tblStylePr w:type="firstCol">
      <w:rPr>
        <w:i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22">
    <w:name w:val="Grid Table 3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cPr>
        <w:shd w:val="clear" w:color="ffffff" w:fill="fef2cb" w:themeFill="accent4" w:themeFillTint="34"/>
      </w:tcPr>
    </w:tblStylePr>
    <w:tblStylePr w:type="band1Vert">
      <w:rPr>
        <w:sz w:val="22"/>
      </w:rPr>
      <w:tcPr>
        <w:shd w:val="clear" w:color="ffffff" w:fill="fef2cb" w:themeFill="accent4" w:themeFillTint="34"/>
      </w:tcPr>
    </w:tblStylePr>
    <w:tblStylePr w:type="firstCol">
      <w:rPr>
        <w:i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23">
    <w:name w:val="Grid Table 3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cPr>
        <w:shd w:val="clear" w:color="ffffff" w:fill="d9e2f2" w:themeFill="accent5" w:themeFillTint="34"/>
      </w:tcPr>
    </w:tblStylePr>
    <w:tblStylePr w:type="band1Vert">
      <w:rPr>
        <w:sz w:val="22"/>
      </w:rPr>
      <w:tcPr>
        <w:shd w:val="clear" w:color="ffffff" w:fill="d9e2f2" w:themeFill="accent5" w:themeFillTint="34"/>
      </w:tcPr>
    </w:tblStylePr>
    <w:tblStylePr w:type="firstCol">
      <w:rPr>
        <w:i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24">
    <w:name w:val="Grid Table 3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cPr>
        <w:shd w:val="clear" w:color="ffffff" w:fill="e2efd8" w:themeFill="accent6" w:themeFillTint="34"/>
      </w:tcPr>
    </w:tblStylePr>
    <w:tblStylePr w:type="band1Vert">
      <w:rPr>
        <w:sz w:val="22"/>
      </w:rPr>
      <w:tcPr>
        <w:shd w:val="clear" w:color="ffffff" w:fill="e2efd8" w:themeFill="accent6" w:themeFillTint="34"/>
      </w:tcPr>
    </w:tblStylePr>
    <w:tblStylePr w:type="firstCol">
      <w:rPr>
        <w:i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25">
    <w:name w:val="Grid Table 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cPr>
        <w:shd w:val="clear" w:color="ffffff" w:fill="cbcbcb" w:themeFill="text1" w:themeFillTint="34"/>
      </w:tcPr>
    </w:tblStylePr>
    <w:tblStylePr w:type="band1Vert">
      <w:rPr>
        <w:sz w:val="22"/>
      </w:rPr>
      <w:tcPr>
        <w:shd w:val="clear" w:color="ffffff" w:fill="cbcbcb" w:themeFill="text1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text1" w:sz="4" w:space="0"/>
        </w:tcBorders>
      </w:tcPr>
    </w:tblStylePr>
  </w:style>
  <w:style w:type="table" w:styleId="2226">
    <w:name w:val="Grid Table 4 - Accent 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cPr>
        <w:shd w:val="clear" w:color="ffffff" w:fill="dfebf6" w:themeFill="accent1" w:themeFillTint="32"/>
      </w:tcPr>
    </w:tblStylePr>
    <w:tblStylePr w:type="band1Vert">
      <w:rPr>
        <w:sz w:val="22"/>
      </w:rPr>
      <w:tcPr>
        <w:shd w:val="clear" w:color="ffffff" w:fill="dfebf6" w:themeFill="accent1" w:themeFillTint="32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67a4d8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accent1" w:sz="4" w:space="0"/>
        </w:tcBorders>
      </w:tcPr>
    </w:tblStylePr>
  </w:style>
  <w:style w:type="table" w:styleId="2227">
    <w:name w:val="Grid Table 4 - Accent 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cPr>
        <w:shd w:val="clear" w:color="ffffff" w:fill="fbe5d6" w:themeFill="accent2" w:themeFillTint="32"/>
      </w:tcPr>
    </w:tblStylePr>
    <w:tblStylePr w:type="band1Vert">
      <w:rPr>
        <w:sz w:val="22"/>
      </w:rPr>
      <w:tcPr>
        <w:shd w:val="clear" w:color="ffffff" w:fill="fbe5d6" w:themeFill="accent2" w:themeFillTint="32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f4b185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accent2" w:sz="4" w:space="0"/>
        </w:tcBorders>
      </w:tcPr>
    </w:tblStylePr>
  </w:style>
  <w:style w:type="table" w:styleId="2228">
    <w:name w:val="Grid Table 4 - Accent 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cPr>
        <w:shd w:val="clear" w:color="ffffff" w:fill="ededed" w:themeFill="accent3" w:themeFillTint="34"/>
      </w:tcPr>
    </w:tblStylePr>
    <w:tblStylePr w:type="band1Vert">
      <w:rPr>
        <w:sz w:val="22"/>
      </w:rPr>
      <w:tcPr>
        <w:shd w:val="clear" w:color="ffffff" w:fill="ededed" w:themeFill="accent3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a5a5a5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accent3" w:sz="4" w:space="0"/>
        </w:tcBorders>
      </w:tcPr>
    </w:tblStylePr>
  </w:style>
  <w:style w:type="table" w:styleId="2229">
    <w:name w:val="Grid Table 4 - Accent 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cPr>
        <w:shd w:val="clear" w:color="ffffff" w:fill="fef2cb" w:themeFill="accent4" w:themeFillTint="34"/>
      </w:tcPr>
    </w:tblStylePr>
    <w:tblStylePr w:type="band1Vert">
      <w:rPr>
        <w:sz w:val="22"/>
      </w:rPr>
      <w:tcPr>
        <w:shd w:val="clear" w:color="ffffff" w:fill="fef2cb" w:themeFill="accent4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ffd864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accent4" w:sz="4" w:space="0"/>
        </w:tcBorders>
      </w:tcPr>
    </w:tblStylePr>
  </w:style>
  <w:style w:type="table" w:styleId="2230">
    <w:name w:val="Grid Table 4 - Accent 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cPr>
        <w:shd w:val="clear" w:color="ffffff" w:fill="d9e2f2" w:themeFill="accent5" w:themeFillTint="34"/>
      </w:tcPr>
    </w:tblStylePr>
    <w:tblStylePr w:type="band1Vert">
      <w:rPr>
        <w:sz w:val="22"/>
      </w:rPr>
      <w:tcPr>
        <w:shd w:val="clear" w:color="ffffff" w:fill="d9e2f2" w:themeFill="accent5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accent5" w:sz="4" w:space="0"/>
        </w:tcBorders>
      </w:tcPr>
    </w:tblStylePr>
  </w:style>
  <w:style w:type="table" w:styleId="2231">
    <w:name w:val="Grid Table 4 - Accent 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cPr>
        <w:shd w:val="clear" w:color="ffffff" w:fill="e2efd8" w:themeFill="accent6" w:themeFillTint="34"/>
      </w:tcPr>
    </w:tblStylePr>
    <w:tblStylePr w:type="band1Vert">
      <w:rPr>
        <w:sz w:val="22"/>
      </w:rPr>
      <w:tcPr>
        <w:shd w:val="clear" w:color="ffffff" w:fill="e2efd8" w:themeFill="accent6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accent6" w:sz="4" w:space="0"/>
        </w:tcBorders>
      </w:tcPr>
    </w:tblStylePr>
  </w:style>
  <w:style w:type="table" w:styleId="2232">
    <w:name w:val="Grid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cPr>
        <w:shd w:val="clear" w:color="ffffff" w:fill="8a8a8a" w:themeFill="text1" w:themeFillTint="75"/>
      </w:tcPr>
    </w:tblStylePr>
    <w:tblStylePr w:type="band1Vert">
      <w:tcPr>
        <w:shd w:val="clear" w:color="ffffff" w:fill="8a8a8a" w:themeFill="text1" w:themeFillTint="75"/>
      </w:tcPr>
    </w:tblStylePr>
    <w:tblStylePr w:type="firstCol">
      <w:rPr>
        <w:b/>
        <w:sz w:val="22"/>
      </w:rPr>
      <w:tcPr>
        <w:shd w:val="clear" w:color="ffffff" w:fill="000000" w:themeFill="text1"/>
      </w:tcPr>
    </w:tblStylePr>
    <w:tblStylePr w:type="firstRow">
      <w:rPr>
        <w:b/>
        <w:sz w:val="22"/>
      </w:rPr>
      <w:tcPr>
        <w:shd w:val="clear" w:color="ffffff" w:fill="000000" w:themeFill="text1"/>
      </w:tcPr>
    </w:tblStylePr>
    <w:tblStylePr w:type="lastCol">
      <w:rPr>
        <w:b/>
        <w:sz w:val="22"/>
      </w:rPr>
      <w:tcPr>
        <w:shd w:val="clear" w:color="ffffff" w:fill="000000" w:themeFill="text1"/>
      </w:tcPr>
    </w:tblStylePr>
    <w:tblStylePr w:type="lastRow">
      <w:rPr>
        <w:b/>
        <w:sz w:val="22"/>
      </w:r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</w:style>
  <w:style w:type="table" w:styleId="2233">
    <w:name w:val="Grid Table 5 Dark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cPr>
        <w:shd w:val="clear" w:color="ffffff" w:fill="b4d2eb" w:themeFill="accent1" w:themeFillTint="75"/>
      </w:tcPr>
    </w:tblStylePr>
    <w:tblStylePr w:type="band1Vert">
      <w:tcPr>
        <w:shd w:val="clear" w:color="ffffff" w:fill="b4d2eb" w:themeFill="accent1" w:themeFillTint="75"/>
      </w:tcPr>
    </w:tblStylePr>
    <w:tblStylePr w:type="firstCol">
      <w:rPr>
        <w:b/>
        <w:sz w:val="22"/>
      </w:rPr>
      <w:tcPr>
        <w:shd w:val="clear" w:color="ffffff" w:fill="5b9bd5" w:themeFill="accent1"/>
      </w:tcPr>
    </w:tblStylePr>
    <w:tblStylePr w:type="firstRow">
      <w:rPr>
        <w:b/>
        <w:sz w:val="22"/>
      </w:rPr>
      <w:tcPr>
        <w:shd w:val="clear" w:color="ffffff" w:fill="5b9bd5" w:themeFill="accent1"/>
      </w:tcPr>
    </w:tblStylePr>
    <w:tblStylePr w:type="lastCol">
      <w:rPr>
        <w:b/>
        <w:sz w:val="22"/>
      </w:rPr>
      <w:tcPr>
        <w:shd w:val="clear" w:color="ffffff" w:fill="5b9bd5" w:themeFill="accent1"/>
      </w:tcPr>
    </w:tblStylePr>
    <w:tblStylePr w:type="lastRow">
      <w:rPr>
        <w:b/>
        <w:sz w:val="22"/>
      </w:rPr>
      <w:tcPr>
        <w:shd w:val="clear" w:color="ffffff" w:fill="5b9bd5" w:themeFill="accent1"/>
        <w:tcBorders>
          <w:top w:val="single" w:color="000000" w:themeColor="light1" w:sz="4" w:space="0"/>
        </w:tcBorders>
      </w:tcPr>
    </w:tblStylePr>
  </w:style>
  <w:style w:type="table" w:styleId="2234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cPr>
        <w:shd w:val="clear" w:color="ffffff" w:fill="f6c3a1" w:themeFill="accent2" w:themeFillTint="75"/>
      </w:tcPr>
    </w:tblStylePr>
    <w:tblStylePr w:type="band1Vert">
      <w:tcPr>
        <w:shd w:val="clear" w:color="ffffff" w:fill="f6c3a1" w:themeFill="accent2" w:themeFillTint="75"/>
      </w:tcPr>
    </w:tblStylePr>
    <w:tblStylePr w:type="firstCol">
      <w:rPr>
        <w:b/>
        <w:sz w:val="22"/>
      </w:rPr>
      <w:tcPr>
        <w:shd w:val="clear" w:color="ffffff" w:fill="ed7d31" w:themeFill="accent2"/>
      </w:tcPr>
    </w:tblStylePr>
    <w:tblStylePr w:type="firstRow">
      <w:rPr>
        <w:b/>
        <w:sz w:val="22"/>
      </w:rPr>
      <w:tcPr>
        <w:shd w:val="clear" w:color="ffffff" w:fill="ed7d31" w:themeFill="accent2"/>
      </w:tcPr>
    </w:tblStylePr>
    <w:tblStylePr w:type="lastCol">
      <w:rPr>
        <w:b/>
        <w:sz w:val="22"/>
      </w:rPr>
      <w:tcPr>
        <w:shd w:val="clear" w:color="ffffff" w:fill="ed7d31" w:themeFill="accent2"/>
      </w:tcPr>
    </w:tblStylePr>
    <w:tblStylePr w:type="lastRow">
      <w:rPr>
        <w:b/>
        <w:sz w:val="22"/>
      </w:rPr>
      <w:tcPr>
        <w:shd w:val="clear" w:color="ffffff" w:fill="ed7d31" w:themeFill="accent2"/>
        <w:tcBorders>
          <w:top w:val="single" w:color="000000" w:themeColor="light1" w:sz="4" w:space="0"/>
        </w:tcBorders>
      </w:tcPr>
    </w:tblStylePr>
  </w:style>
  <w:style w:type="table" w:styleId="2235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cPr>
        <w:shd w:val="clear" w:color="ffffff" w:fill="d6d6d6" w:themeFill="accent3" w:themeFillTint="75"/>
      </w:tcPr>
    </w:tblStylePr>
    <w:tblStylePr w:type="band1Vert">
      <w:tcPr>
        <w:shd w:val="clear" w:color="ffffff" w:fill="d6d6d6" w:themeFill="accent3" w:themeFillTint="75"/>
      </w:tcPr>
    </w:tblStylePr>
    <w:tblStylePr w:type="firstCol">
      <w:rPr>
        <w:b/>
        <w:sz w:val="22"/>
      </w:rPr>
      <w:tcPr>
        <w:shd w:val="clear" w:color="ffffff" w:fill="a5a5a5" w:themeFill="accent3"/>
      </w:tcPr>
    </w:tblStylePr>
    <w:tblStylePr w:type="firstRow">
      <w:rPr>
        <w:b/>
        <w:sz w:val="22"/>
      </w:rPr>
      <w:tcPr>
        <w:shd w:val="clear" w:color="ffffff" w:fill="a5a5a5" w:themeFill="accent3"/>
      </w:tcPr>
    </w:tblStylePr>
    <w:tblStylePr w:type="lastCol">
      <w:rPr>
        <w:b/>
        <w:sz w:val="22"/>
      </w:rPr>
      <w:tcPr>
        <w:shd w:val="clear" w:color="ffffff" w:fill="a5a5a5" w:themeFill="accent3"/>
      </w:tcPr>
    </w:tblStylePr>
    <w:tblStylePr w:type="lastRow">
      <w:rPr>
        <w:b/>
        <w:sz w:val="22"/>
      </w:rPr>
      <w:tcPr>
        <w:shd w:val="clear" w:color="ffffff" w:fill="a5a5a5" w:themeFill="accent3"/>
        <w:tcBorders>
          <w:top w:val="single" w:color="000000" w:themeColor="light1" w:sz="4" w:space="0"/>
        </w:tcBorders>
      </w:tcPr>
    </w:tblStylePr>
  </w:style>
  <w:style w:type="table" w:styleId="2236">
    <w:name w:val="Grid Table 5 Dark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cPr>
        <w:shd w:val="clear" w:color="ffffff" w:fill="fee189" w:themeFill="accent4" w:themeFillTint="75"/>
      </w:tcPr>
    </w:tblStylePr>
    <w:tblStylePr w:type="band1Vert">
      <w:tcPr>
        <w:shd w:val="clear" w:color="ffffff" w:fill="fee189" w:themeFill="accent4" w:themeFillTint="75"/>
      </w:tcPr>
    </w:tblStylePr>
    <w:tblStylePr w:type="firstCol">
      <w:rPr>
        <w:b/>
        <w:sz w:val="22"/>
      </w:rPr>
      <w:tcPr>
        <w:shd w:val="clear" w:color="ffffff" w:fill="ffc000" w:themeFill="accent4"/>
      </w:tcPr>
    </w:tblStylePr>
    <w:tblStylePr w:type="firstRow">
      <w:rPr>
        <w:b/>
        <w:sz w:val="22"/>
      </w:rPr>
      <w:tcPr>
        <w:shd w:val="clear" w:color="ffffff" w:fill="ffc000" w:themeFill="accent4"/>
      </w:tcPr>
    </w:tblStylePr>
    <w:tblStylePr w:type="lastCol">
      <w:rPr>
        <w:b/>
        <w:sz w:val="22"/>
      </w:rPr>
      <w:tcPr>
        <w:shd w:val="clear" w:color="ffffff" w:fill="ffc000" w:themeFill="accent4"/>
      </w:tcPr>
    </w:tblStylePr>
    <w:tblStylePr w:type="lastRow">
      <w:rPr>
        <w:b/>
        <w:sz w:val="22"/>
      </w:rPr>
      <w:tcPr>
        <w:shd w:val="clear" w:color="ffffff" w:fill="ffc000" w:themeFill="accent4"/>
        <w:tcBorders>
          <w:top w:val="single" w:color="000000" w:themeColor="light1" w:sz="4" w:space="0"/>
        </w:tcBorders>
      </w:tcPr>
    </w:tblStylePr>
  </w:style>
  <w:style w:type="table" w:styleId="2237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cPr>
        <w:shd w:val="clear" w:color="ffffff" w:fill="aabfe3" w:themeFill="accent5" w:themeFillTint="75"/>
      </w:tcPr>
    </w:tblStylePr>
    <w:tblStylePr w:type="band1Vert">
      <w:tcPr>
        <w:shd w:val="clear" w:color="ffffff" w:fill="aabfe3" w:themeFill="accent5" w:themeFillTint="75"/>
      </w:tcPr>
    </w:tblStylePr>
    <w:tblStylePr w:type="firstCol">
      <w:rPr>
        <w:b/>
        <w:sz w:val="22"/>
      </w:rPr>
      <w:tcPr>
        <w:shd w:val="clear" w:color="ffffff" w:fill="4472c4" w:themeFill="accent5"/>
      </w:tcPr>
    </w:tblStylePr>
    <w:tblStylePr w:type="firstRow">
      <w:rPr>
        <w:b/>
        <w:sz w:val="22"/>
      </w:rPr>
      <w:tcPr>
        <w:shd w:val="clear" w:color="ffffff" w:fill="4472c4" w:themeFill="accent5"/>
      </w:tcPr>
    </w:tblStylePr>
    <w:tblStylePr w:type="lastCol">
      <w:rPr>
        <w:b/>
        <w:sz w:val="22"/>
      </w:rPr>
      <w:tcPr>
        <w:shd w:val="clear" w:color="ffffff" w:fill="4472c4" w:themeFill="accent5"/>
      </w:tcPr>
    </w:tblStylePr>
    <w:tblStylePr w:type="lastRow">
      <w:rPr>
        <w:b/>
        <w:sz w:val="22"/>
      </w:rPr>
      <w:tcPr>
        <w:shd w:val="clear" w:color="ffffff" w:fill="4472c4" w:themeFill="accent5"/>
        <w:tcBorders>
          <w:top w:val="single" w:color="000000" w:themeColor="light1" w:sz="4" w:space="0"/>
        </w:tcBorders>
      </w:tcPr>
    </w:tblStylePr>
  </w:style>
  <w:style w:type="table" w:styleId="2238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cPr>
        <w:shd w:val="clear" w:color="ffffff" w:fill="bedba8" w:themeFill="accent6" w:themeFillTint="75"/>
      </w:tcPr>
    </w:tblStylePr>
    <w:tblStylePr w:type="band1Vert">
      <w:tcPr>
        <w:shd w:val="clear" w:color="ffffff" w:fill="bedba8" w:themeFill="accent6" w:themeFillTint="75"/>
      </w:tcPr>
    </w:tblStylePr>
    <w:tblStylePr w:type="firstCol">
      <w:rPr>
        <w:b/>
        <w:sz w:val="22"/>
      </w:rPr>
      <w:tcPr>
        <w:shd w:val="clear" w:color="ffffff" w:fill="70ad47" w:themeFill="accent6"/>
      </w:tcPr>
    </w:tblStylePr>
    <w:tblStylePr w:type="firstRow">
      <w:rPr>
        <w:b/>
        <w:sz w:val="22"/>
      </w:rPr>
      <w:tcPr>
        <w:shd w:val="clear" w:color="ffffff" w:fill="70ad47" w:themeFill="accent6"/>
      </w:tcPr>
    </w:tblStylePr>
    <w:tblStylePr w:type="lastCol">
      <w:rPr>
        <w:b/>
        <w:sz w:val="22"/>
      </w:rPr>
      <w:tcPr>
        <w:shd w:val="clear" w:color="ffffff" w:fill="70ad47" w:themeFill="accent6"/>
      </w:tcPr>
    </w:tblStylePr>
    <w:tblStylePr w:type="lastRow">
      <w:rPr>
        <w:b/>
        <w:sz w:val="22"/>
      </w:rPr>
      <w:tcPr>
        <w:shd w:val="clear" w:color="ffffff" w:fill="70ad47" w:themeFill="accent6"/>
        <w:tcBorders>
          <w:top w:val="single" w:color="000000" w:themeColor="light1" w:sz="4" w:space="0"/>
        </w:tcBorders>
      </w:tcPr>
    </w:tblStylePr>
  </w:style>
  <w:style w:type="table" w:styleId="2239">
    <w:name w:val="Grid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cPr>
        <w:shd w:val="clear" w:color="ffffff" w:fill="cbcbcb" w:themeFill="text1" w:themeFillTint="34"/>
      </w:tcPr>
    </w:tblStylePr>
    <w:tblStylePr w:type="band1Vert">
      <w:tcPr>
        <w:shd w:val="clear" w:color="ffffff" w:fill="cbcbcb" w:themeFill="text1" w:themeFillTint="34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color w:val="4a4a4a" w:themeColor="text1" w:themeTint="80" w:themeShade="95"/>
        <w:sz w:val="22"/>
      </w:rPr>
    </w:tblStylePr>
  </w:style>
  <w:style w:type="table" w:styleId="2240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317bba" w:themeColor="accent1" w:themeTint="80" w:themeShade="95"/>
        <w:sz w:val="22"/>
      </w:rPr>
      <w:tcPr>
        <w:shd w:val="clear" w:color="ffffff" w:fill="ddebf6" w:themeFill="accent1" w:themeFillTint="34"/>
      </w:tcPr>
    </w:tblStylePr>
    <w:tblStylePr w:type="band1Vert">
      <w:tcPr>
        <w:shd w:val="clear" w:color="ffffff" w:fill="ddebf6" w:themeFill="accent1" w:themeFillTint="34"/>
      </w:tcPr>
    </w:tblStylePr>
    <w:tblStylePr w:type="band2Horz">
      <w:rPr>
        <w:color w:val="317bba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color w:val="317bba" w:themeColor="accent1" w:themeTint="80" w:themeShade="95"/>
        <w:sz w:val="22"/>
      </w:rPr>
    </w:tblStylePr>
  </w:style>
  <w:style w:type="table" w:styleId="2241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c95712" w:themeColor="accent2" w:themeTint="97" w:themeShade="95"/>
        <w:sz w:val="22"/>
      </w:rPr>
      <w:tcPr>
        <w:shd w:val="clear" w:color="ffffff" w:fill="fbe5d6" w:themeFill="accent2" w:themeFillTint="32"/>
      </w:tcPr>
    </w:tblStylePr>
    <w:tblStylePr w:type="band1Vert">
      <w:tcPr>
        <w:shd w:val="clear" w:color="ffffff" w:fill="fbe5d6" w:themeFill="accent2" w:themeFillTint="32"/>
      </w:tcPr>
    </w:tblStylePr>
    <w:tblStylePr w:type="band2Horz">
      <w:rPr>
        <w:color w:val="c95712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color w:val="c95712" w:themeColor="accent2" w:themeTint="97" w:themeShade="95"/>
        <w:sz w:val="22"/>
      </w:rPr>
    </w:tblStylePr>
  </w:style>
  <w:style w:type="table" w:styleId="2242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606060" w:themeColor="accent3" w:themeTint="FE" w:themeShade="95"/>
        <w:sz w:val="22"/>
      </w:rPr>
      <w:tcPr>
        <w:shd w:val="clear" w:color="ffffff" w:fill="ededed" w:themeFill="accent3" w:themeFillTint="34"/>
      </w:tcPr>
    </w:tblStylePr>
    <w:tblStylePr w:type="band1Vert">
      <w:tcPr>
        <w:shd w:val="clear" w:color="ffffff" w:fill="ededed" w:themeFill="accent3" w:themeFillTint="34"/>
      </w:tcPr>
    </w:tblStylePr>
    <w:tblStylePr w:type="band2Horz">
      <w:rPr>
        <w:color w:val="60606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color w:val="606060" w:themeColor="accent3" w:themeTint="FE" w:themeShade="95"/>
        <w:sz w:val="22"/>
      </w:rPr>
    </w:tblStylePr>
  </w:style>
  <w:style w:type="table" w:styleId="2243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cd9600" w:themeColor="accent4" w:themeTint="9A" w:themeShade="95"/>
        <w:sz w:val="22"/>
      </w:rPr>
      <w:tcPr>
        <w:shd w:val="clear" w:color="ffffff" w:fill="fef2cb" w:themeFill="accent4" w:themeFillTint="34"/>
      </w:tcPr>
    </w:tblStylePr>
    <w:tblStylePr w:type="band1Vert">
      <w:tcPr>
        <w:shd w:val="clear" w:color="ffffff" w:fill="fef2cb" w:themeFill="accent4" w:themeFillTint="34"/>
      </w:tcPr>
    </w:tblStylePr>
    <w:tblStylePr w:type="band2Horz">
      <w:rPr>
        <w:color w:val="cd960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color w:val="cd9600" w:themeColor="accent4" w:themeTint="9A" w:themeShade="95"/>
        <w:sz w:val="22"/>
      </w:rPr>
    </w:tblStylePr>
  </w:style>
  <w:style w:type="table" w:styleId="2244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254374" w:themeColor="accent5" w:themeShade="95"/>
        <w:sz w:val="22"/>
      </w:rPr>
      <w:tcPr>
        <w:shd w:val="clear" w:color="ffffff" w:fill="d9e2f2" w:themeFill="accent5" w:themeFillTint="34"/>
      </w:tcPr>
    </w:tblStylePr>
    <w:tblStylePr w:type="band1Vert">
      <w:tcPr>
        <w:shd w:val="clear" w:color="ffffff" w:fill="d9e2f2" w:themeFill="accent5" w:themeFillTint="34"/>
      </w:tcPr>
    </w:tblStylePr>
    <w:tblStylePr w:type="band2Horz">
      <w:rPr>
        <w:color w:val="254374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color w:val="254374" w:themeColor="accent5" w:themeShade="95"/>
        <w:sz w:val="22"/>
      </w:rPr>
    </w:tblStylePr>
  </w:style>
  <w:style w:type="table" w:styleId="2245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254374" w:themeColor="accent5" w:themeShade="95"/>
        <w:sz w:val="22"/>
      </w:rPr>
      <w:tcPr>
        <w:shd w:val="clear" w:color="ffffff" w:fill="e2efd8" w:themeFill="accent6" w:themeFillTint="34"/>
      </w:tcPr>
    </w:tblStylePr>
    <w:tblStylePr w:type="band1Vert">
      <w:tcPr>
        <w:shd w:val="clear" w:color="ffffff" w:fill="e2efd8" w:themeFill="accent6" w:themeFillTint="34"/>
      </w:tcPr>
    </w:tblStylePr>
    <w:tblStylePr w:type="band2Horz">
      <w:rPr>
        <w:color w:val="254374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color w:val="254374" w:themeColor="accent5" w:themeShade="95"/>
        <w:sz w:val="22"/>
      </w:rPr>
    </w:tblStylePr>
  </w:style>
  <w:style w:type="table" w:styleId="2246">
    <w:name w:val="Grid Table 7 Colorfu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cPr>
        <w:shd w:val="clear" w:color="ffffff" w:fill="f2f2f2" w:themeFill="text1" w:themeFillTint="00"/>
      </w:tcPr>
    </w:tblStylePr>
    <w:tblStylePr w:type="band1Vert">
      <w:tcPr>
        <w:shd w:val="clear" w:color="ffffff" w:fill="f2f2f2" w:themeFill="text1" w:themeFillTint="00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47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317bba" w:themeColor="accent1" w:themeTint="80" w:themeShade="95"/>
        <w:sz w:val="22"/>
      </w:rPr>
      <w:tcPr>
        <w:shd w:val="clear" w:color="ffffff" w:fill="ddebf6" w:themeFill="accent1" w:themeFillTint="34"/>
      </w:tcPr>
    </w:tblStylePr>
    <w:tblStylePr w:type="band1Vert">
      <w:tcPr>
        <w:shd w:val="clear" w:color="ffffff" w:fill="ddebf6" w:themeFill="accent1" w:themeFillTint="34"/>
      </w:tcPr>
    </w:tblStylePr>
    <w:tblStylePr w:type="band2Horz">
      <w:rPr>
        <w:color w:val="317bba" w:themeColor="accent1" w:themeTint="80" w:themeShade="95"/>
        <w:sz w:val="22"/>
      </w:rPr>
    </w:tblStylePr>
    <w:tblStylePr w:type="firstCol">
      <w:rPr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317bba" w:themeColor="accen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317bba" w:themeColor="accent1" w:themeTint="80" w:themeShade="95"/>
        <w:sz w:val="22"/>
      </w:r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48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c95712" w:themeColor="accent2" w:themeTint="97" w:themeShade="95"/>
        <w:sz w:val="22"/>
      </w:rPr>
      <w:tcPr>
        <w:shd w:val="clear" w:color="ffffff" w:fill="fbe5d6" w:themeFill="accent2" w:themeFillTint="32"/>
      </w:tcPr>
    </w:tblStylePr>
    <w:tblStylePr w:type="band1Vert">
      <w:tcPr>
        <w:shd w:val="clear" w:color="ffffff" w:fill="fbe5d6" w:themeFill="accent2" w:themeFillTint="32"/>
      </w:tcPr>
    </w:tblStylePr>
    <w:tblStylePr w:type="band2Horz">
      <w:rPr>
        <w:color w:val="c95712" w:themeColor="accent2" w:themeTint="97" w:themeShade="95"/>
        <w:sz w:val="22"/>
      </w:rPr>
    </w:tblStylePr>
    <w:tblStylePr w:type="firstCol">
      <w:rPr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c95712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95712" w:themeColor="accent2" w:themeTint="97" w:themeShade="95"/>
        <w:sz w:val="22"/>
      </w:r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49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606060" w:themeColor="accent3" w:themeTint="FE" w:themeShade="95"/>
        <w:sz w:val="22"/>
      </w:rPr>
      <w:tcPr>
        <w:shd w:val="clear" w:color="ffffff" w:fill="ededed" w:themeFill="accent3" w:themeFillTint="34"/>
      </w:tcPr>
    </w:tblStylePr>
    <w:tblStylePr w:type="band1Vert">
      <w:tcPr>
        <w:shd w:val="clear" w:color="ffffff" w:fill="ededed" w:themeFill="accent3" w:themeFillTint="34"/>
      </w:tcPr>
    </w:tblStylePr>
    <w:tblStylePr w:type="band2Horz">
      <w:rPr>
        <w:color w:val="606060" w:themeColor="accent3" w:themeTint="FE" w:themeShade="95"/>
        <w:sz w:val="22"/>
      </w:rPr>
    </w:tblStylePr>
    <w:tblStylePr w:type="firstCol">
      <w:rPr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6060" w:themeColor="accent3" w:themeTint="FE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6060" w:themeColor="accent3" w:themeTint="FE" w:themeShade="95"/>
        <w:sz w:val="22"/>
      </w:r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50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cd9600" w:themeColor="accent4" w:themeTint="9A" w:themeShade="95"/>
        <w:sz w:val="22"/>
      </w:rPr>
      <w:tcPr>
        <w:shd w:val="clear" w:color="ffffff" w:fill="fef2cb" w:themeFill="accent4" w:themeFillTint="34"/>
      </w:tcPr>
    </w:tblStylePr>
    <w:tblStylePr w:type="band1Vert">
      <w:tcPr>
        <w:shd w:val="clear" w:color="ffffff" w:fill="fef2cb" w:themeFill="accent4" w:themeFillTint="34"/>
      </w:tcPr>
    </w:tblStylePr>
    <w:tblStylePr w:type="band2Horz">
      <w:rPr>
        <w:color w:val="cd9600" w:themeColor="accent4" w:themeTint="9A" w:themeShade="95"/>
        <w:sz w:val="22"/>
      </w:rPr>
    </w:tblStylePr>
    <w:tblStylePr w:type="firstCol">
      <w:rPr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cd9600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cd9600" w:themeColor="accent4" w:themeTint="9A" w:themeShade="95"/>
        <w:sz w:val="22"/>
      </w:r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51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254374" w:themeColor="accent5" w:themeShade="95"/>
        <w:sz w:val="22"/>
      </w:rPr>
      <w:tcPr>
        <w:shd w:val="clear" w:color="ffffff" w:fill="d9e2f2" w:themeFill="accent5" w:themeFillTint="34"/>
      </w:tcPr>
    </w:tblStylePr>
    <w:tblStylePr w:type="band1Vert">
      <w:tcPr>
        <w:shd w:val="clear" w:color="ffffff" w:fill="d9e2f2" w:themeFill="accent5" w:themeFillTint="34"/>
      </w:tcPr>
    </w:tblStylePr>
    <w:tblStylePr w:type="band2Horz">
      <w:rPr>
        <w:color w:val="254374" w:themeColor="accent5" w:themeShade="95"/>
        <w:sz w:val="22"/>
      </w:rPr>
    </w:tblStylePr>
    <w:tblStylePr w:type="firstCol">
      <w:rPr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254374" w:themeColor="accent5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254374" w:themeColor="accent5" w:themeShade="95"/>
        <w:sz w:val="22"/>
      </w:r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52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426429" w:themeColor="accent6" w:themeShade="95"/>
        <w:sz w:val="22"/>
      </w:rPr>
      <w:tcPr>
        <w:shd w:val="clear" w:color="ffffff" w:fill="e2efd8" w:themeFill="accent6" w:themeFillTint="34"/>
      </w:tcPr>
    </w:tblStylePr>
    <w:tblStylePr w:type="band1Vert">
      <w:tcPr>
        <w:shd w:val="clear" w:color="ffffff" w:fill="e2efd8" w:themeFill="accent6" w:themeFillTint="34"/>
      </w:tcPr>
    </w:tblStylePr>
    <w:tblStylePr w:type="band2Horz">
      <w:rPr>
        <w:color w:val="426429" w:themeColor="accent6" w:themeShade="95"/>
        <w:sz w:val="22"/>
      </w:rPr>
    </w:tblStylePr>
    <w:tblStylePr w:type="firstCol">
      <w:rPr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426429" w:themeColor="accent6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26429" w:themeColor="accent6" w:themeShade="95"/>
        <w:sz w:val="22"/>
      </w:r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53">
    <w:name w:val="List Table 1 Light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54">
    <w:name w:val="List Table 1 Light - Accent 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fff" w:fill="d5e6f4" w:themeFill="accent1" w:themeFillTint="40"/>
      </w:tcPr>
    </w:tblStylePr>
    <w:tblStylePr w:type="band1Vert">
      <w:tcPr>
        <w:shd w:val="clear" w:color="ffffff" w:fill="d5e6f4" w:themeFill="accent1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55">
    <w:name w:val="List Table 1 Light - Accent 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fff" w:fill="fadecb" w:themeFill="accent2" w:themeFillTint="40"/>
      </w:tcPr>
    </w:tblStylePr>
    <w:tblStylePr w:type="band1Vert">
      <w:tcPr>
        <w:shd w:val="clear" w:color="ffffff" w:fill="fadecb" w:themeFill="accent2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56">
    <w:name w:val="List Table 1 Light - Accent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fff" w:fill="e8e8e8" w:themeFill="accent3" w:themeFillTint="40"/>
      </w:tcPr>
    </w:tblStylePr>
    <w:tblStylePr w:type="band1Vert">
      <w:tcPr>
        <w:shd w:val="clear" w:color="ffffff" w:fill="e8e8e8" w:themeFill="accent3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57">
    <w:name w:val="List Table 1 Light - Accent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fff" w:fill="ffefbf" w:themeFill="accent4" w:themeFillTint="40"/>
      </w:tcPr>
    </w:tblStylePr>
    <w:tblStylePr w:type="band1Vert">
      <w:tcPr>
        <w:shd w:val="clear" w:color="ffffff" w:fill="ffefbf" w:themeFill="accent4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58">
    <w:name w:val="List Table 1 Light - Accent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fff" w:fill="cfdcf0" w:themeFill="accent5" w:themeFillTint="40"/>
      </w:tcPr>
    </w:tblStylePr>
    <w:tblStylePr w:type="band1Vert">
      <w:tcPr>
        <w:shd w:val="clear" w:color="ffffff" w:fill="cfdcf0" w:themeFill="accent5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59">
    <w:name w:val="List Table 1 Light - Accent 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fff" w:fill="dbebd0" w:themeFill="accent6" w:themeFillTint="40"/>
      </w:tcPr>
    </w:tblStylePr>
    <w:tblStylePr w:type="band1Vert">
      <w:tcPr>
        <w:shd w:val="clear" w:color="ffffff" w:fill="dbebd0" w:themeFill="accent6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2260">
    <w:name w:val="List Table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cPr>
        <w:shd w:val="clear" w:color="ffffff" w:fill="bfbfbf" w:themeFill="text1" w:themeFillTint="40"/>
      </w:tcPr>
    </w:tblStylePr>
    <w:tblStylePr w:type="band1Vert">
      <w:rPr>
        <w:sz w:val="22"/>
      </w:rPr>
      <w:tcPr>
        <w:shd w:val="clear" w:color="ffffff" w:fill="bfbfbf" w:themeFill="text1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2261">
    <w:name w:val="List Table 2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cPr>
        <w:shd w:val="clear" w:color="ffffff" w:fill="d5e6f4" w:themeFill="accent1" w:themeFillTint="40"/>
      </w:tcPr>
    </w:tblStylePr>
    <w:tblStylePr w:type="band1Vert">
      <w:rPr>
        <w:sz w:val="22"/>
      </w:rPr>
      <w:tcPr>
        <w:shd w:val="clear" w:color="ffffff" w:fill="d5e6f4" w:themeFill="accent1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</w:style>
  <w:style w:type="table" w:styleId="2262">
    <w:name w:val="List Table 2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cPr>
        <w:shd w:val="clear" w:color="ffffff" w:fill="fadecb" w:themeFill="accent2" w:themeFillTint="40"/>
      </w:tcPr>
    </w:tblStylePr>
    <w:tblStylePr w:type="band1Vert">
      <w:rPr>
        <w:sz w:val="22"/>
      </w:rPr>
      <w:tcPr>
        <w:shd w:val="clear" w:color="ffffff" w:fill="fadecb" w:themeFill="accent2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</w:style>
  <w:style w:type="table" w:styleId="2263">
    <w:name w:val="List Table 2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cPr>
        <w:shd w:val="clear" w:color="ffffff" w:fill="e8e8e8" w:themeFill="accent3" w:themeFillTint="40"/>
      </w:tcPr>
    </w:tblStylePr>
    <w:tblStylePr w:type="band1Vert">
      <w:rPr>
        <w:sz w:val="22"/>
      </w:rPr>
      <w:tcPr>
        <w:shd w:val="clear" w:color="ffffff" w:fill="e8e8e8" w:themeFill="accent3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</w:style>
  <w:style w:type="table" w:styleId="2264">
    <w:name w:val="List Table 2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cPr>
        <w:shd w:val="clear" w:color="ffffff" w:fill="ffefbf" w:themeFill="accent4" w:themeFillTint="40"/>
      </w:tcPr>
    </w:tblStylePr>
    <w:tblStylePr w:type="band1Vert">
      <w:rPr>
        <w:sz w:val="22"/>
      </w:rPr>
      <w:tcPr>
        <w:shd w:val="clear" w:color="ffffff" w:fill="ffefbf" w:themeFill="accent4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</w:style>
  <w:style w:type="table" w:styleId="2265">
    <w:name w:val="List Table 2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cPr>
        <w:shd w:val="clear" w:color="ffffff" w:fill="cfdcf0" w:themeFill="accent5" w:themeFillTint="40"/>
      </w:tcPr>
    </w:tblStylePr>
    <w:tblStylePr w:type="band1Vert">
      <w:rPr>
        <w:sz w:val="22"/>
      </w:rPr>
      <w:tcPr>
        <w:shd w:val="clear" w:color="ffffff" w:fill="cfdcf0" w:themeFill="accent5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</w:style>
  <w:style w:type="table" w:styleId="2266">
    <w:name w:val="List Table 2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cPr>
        <w:shd w:val="clear" w:color="ffffff" w:fill="dbebd0" w:themeFill="accent6" w:themeFillTint="40"/>
      </w:tcPr>
    </w:tblStylePr>
    <w:tblStylePr w:type="band1Vert">
      <w:rPr>
        <w:sz w:val="22"/>
      </w:rPr>
      <w:tcPr>
        <w:shd w:val="clear" w:color="ffffff" w:fill="dbebd0" w:themeFill="accent6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</w:style>
  <w:style w:type="table" w:styleId="2267">
    <w:name w:val="List Table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000000" w:themeFill="tex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68">
    <w:name w:val="List Table 3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5b9bd5" w:themeFill="accen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69">
    <w:name w:val="List Table 3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f4b185" w:themeFill="accent2" w:themeFillTint="97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70">
    <w:name w:val="List Table 3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c9c9c9" w:themeFill="accent3" w:themeFillTint="98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71">
    <w:name w:val="List Table 3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ffd864" w:themeFill="accent4" w:themeFillTint="9A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72">
    <w:name w:val="List Table 3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8eabdb" w:themeFill="accent5" w:themeFillTint="9A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73">
    <w:name w:val="List Table 3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aad08f" w:themeFill="accent6" w:themeFillTint="98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74">
    <w:name w:val="List Table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cPr>
        <w:shd w:val="clear" w:color="ffffff" w:fill="bfbfbf" w:themeFill="text1" w:themeFillTint="40"/>
      </w:tcPr>
    </w:tblStylePr>
    <w:tblStylePr w:type="band1Vert">
      <w:rPr>
        <w:sz w:val="22"/>
      </w:rPr>
      <w:tcPr>
        <w:shd w:val="clear" w:color="ffffff" w:fill="bfbfbf" w:themeFill="text1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000000" w:themeFill="tex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75">
    <w:name w:val="List Table 4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cPr>
        <w:shd w:val="clear" w:color="ffffff" w:fill="d5e6f4" w:themeFill="accent1" w:themeFillTint="40"/>
      </w:tcPr>
    </w:tblStylePr>
    <w:tblStylePr w:type="band1Vert">
      <w:rPr>
        <w:sz w:val="22"/>
      </w:rPr>
      <w:tcPr>
        <w:shd w:val="clear" w:color="ffffff" w:fill="d5e6f4" w:themeFill="accent1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5b9bd5" w:themeFill="accen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76">
    <w:name w:val="List Table 4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cPr>
        <w:shd w:val="clear" w:color="ffffff" w:fill="fadecb" w:themeFill="accent2" w:themeFillTint="40"/>
      </w:tcPr>
    </w:tblStylePr>
    <w:tblStylePr w:type="band1Vert">
      <w:rPr>
        <w:sz w:val="22"/>
      </w:rPr>
      <w:tcPr>
        <w:shd w:val="clear" w:color="ffffff" w:fill="fadecb" w:themeFill="accent2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ed7d31" w:themeFill="accent2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77">
    <w:name w:val="List Table 4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cPr>
        <w:shd w:val="clear" w:color="ffffff" w:fill="e8e8e8" w:themeFill="accent3" w:themeFillTint="40"/>
      </w:tcPr>
    </w:tblStylePr>
    <w:tblStylePr w:type="band1Vert">
      <w:rPr>
        <w:sz w:val="22"/>
      </w:rPr>
      <w:tcPr>
        <w:shd w:val="clear" w:color="ffffff" w:fill="e8e8e8" w:themeFill="accent3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a5a5a5" w:themeFill="accent3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78">
    <w:name w:val="List Table 4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cPr>
        <w:shd w:val="clear" w:color="ffffff" w:fill="ffefbf" w:themeFill="accent4" w:themeFillTint="40"/>
      </w:tcPr>
    </w:tblStylePr>
    <w:tblStylePr w:type="band1Vert">
      <w:rPr>
        <w:sz w:val="22"/>
      </w:rPr>
      <w:tcPr>
        <w:shd w:val="clear" w:color="ffffff" w:fill="ffefbf" w:themeFill="accent4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ffc000" w:themeFill="accent4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79">
    <w:name w:val="List Table 4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cPr>
        <w:shd w:val="clear" w:color="ffffff" w:fill="cfdcf0" w:themeFill="accent5" w:themeFillTint="40"/>
      </w:tcPr>
    </w:tblStylePr>
    <w:tblStylePr w:type="band1Vert">
      <w:rPr>
        <w:sz w:val="22"/>
      </w:rPr>
      <w:tcPr>
        <w:shd w:val="clear" w:color="ffffff" w:fill="cfdcf0" w:themeFill="accent5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4472c4" w:themeFill="accent5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80">
    <w:name w:val="List Table 4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cPr>
        <w:shd w:val="clear" w:color="ffffff" w:fill="dbebd0" w:themeFill="accent6" w:themeFillTint="40"/>
      </w:tcPr>
    </w:tblStylePr>
    <w:tblStylePr w:type="band1Vert">
      <w:rPr>
        <w:sz w:val="22"/>
      </w:rPr>
      <w:tcPr>
        <w:shd w:val="clear" w:color="ffffff" w:fill="dbebd0" w:themeFill="accent6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70ad47" w:themeFill="accent6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2281">
    <w:name w:val="List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</w:tblStylePr>
    <w:tblStylePr w:type="wholeTable">
      <w:rPr>
        <w:color w:val="ffffff" w:themeColor="light1"/>
        <w:sz w:val="22"/>
      </w:rPr>
    </w:tblStylePr>
  </w:style>
  <w:style w:type="table" w:styleId="2282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</w:tblStylePr>
    <w:tblStylePr w:type="wholeTable">
      <w:rPr>
        <w:color w:val="ffffff" w:themeColor="light1"/>
        <w:sz w:val="22"/>
      </w:rPr>
    </w:tblStylePr>
  </w:style>
  <w:style w:type="table" w:styleId="2283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cPr>
        <w:shd w:val="clear" w:color="ffffff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f4b185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</w:tblStylePr>
    <w:tblStylePr w:type="wholeTable">
      <w:rPr>
        <w:color w:val="ffffff" w:themeColor="light1"/>
        <w:sz w:val="22"/>
      </w:rPr>
    </w:tblStylePr>
  </w:style>
  <w:style w:type="table" w:styleId="2284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c9c9c9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</w:tblStylePr>
    <w:tblStylePr w:type="wholeTable">
      <w:rPr>
        <w:color w:val="ffffff" w:themeColor="light1"/>
        <w:sz w:val="22"/>
      </w:rPr>
    </w:tblStylePr>
  </w:style>
  <w:style w:type="table" w:styleId="2285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cPr>
        <w:shd w:val="clear" w:color="ffffff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ffd864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</w:tblStylePr>
    <w:tblStylePr w:type="wholeTable">
      <w:rPr>
        <w:color w:val="ffffff" w:themeColor="light1"/>
        <w:sz w:val="22"/>
      </w:rPr>
    </w:tblStylePr>
  </w:style>
  <w:style w:type="table" w:styleId="2286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cPr>
        <w:shd w:val="clear" w:color="ffffff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8eabdb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</w:tblStylePr>
    <w:tblStylePr w:type="wholeTable">
      <w:rPr>
        <w:color w:val="ffffff" w:themeColor="light1"/>
        <w:sz w:val="22"/>
      </w:rPr>
    </w:tblStylePr>
  </w:style>
  <w:style w:type="table" w:styleId="2287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cPr>
        <w:shd w:val="clear" w:color="ffffff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aad08f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</w:tblStylePr>
    <w:tblStylePr w:type="wholeTable">
      <w:rPr>
        <w:color w:val="ffffff" w:themeColor="light1"/>
        <w:sz w:val="22"/>
      </w:rPr>
    </w:tblStylePr>
  </w:style>
  <w:style w:type="table" w:styleId="2288">
    <w:name w:val="List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000000" w:themeColor="text1"/>
        <w:sz w:val="22"/>
      </w:rPr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sz="4" w:space="0"/>
        </w:tcBorders>
      </w:tcPr>
    </w:tblStylePr>
  </w:style>
  <w:style w:type="table" w:styleId="2289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245d8d" w:themeColor="accent1" w:themeShade="95"/>
        <w:sz w:val="22"/>
      </w:rPr>
      <w:tcPr>
        <w:shd w:val="clear" w:color="ffffff" w:fill="d5e6f4" w:themeFill="accent1" w:themeFillTint="40"/>
      </w:tcPr>
    </w:tblStylePr>
    <w:tblStylePr w:type="band1Vert">
      <w:tcPr>
        <w:shd w:val="clear" w:color="ffffff" w:fill="d5e6f4" w:themeFill="accent1" w:themeFillTint="40"/>
      </w:tcPr>
    </w:tblStylePr>
    <w:tblStylePr w:type="band2Horz">
      <w:rPr>
        <w:color w:val="245d8d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2290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c95712" w:themeColor="accent2" w:themeTint="97" w:themeShade="95"/>
        <w:sz w:val="22"/>
      </w:rPr>
      <w:tcPr>
        <w:shd w:val="clear" w:color="ffffff" w:fill="fadecb" w:themeFill="accent2" w:themeFillTint="40"/>
      </w:tcPr>
    </w:tblStylePr>
    <w:tblStylePr w:type="band1Vert">
      <w:tcPr>
        <w:shd w:val="clear" w:color="ffffff" w:fill="fadecb" w:themeFill="accent2" w:themeFillTint="40"/>
      </w:tcPr>
    </w:tblStylePr>
    <w:tblStylePr w:type="band2Horz">
      <w:rPr>
        <w:color w:val="c95712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sz="4" w:space="0"/>
        </w:tcBorders>
      </w:tcPr>
    </w:tblStylePr>
  </w:style>
  <w:style w:type="table" w:styleId="2291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757575" w:themeColor="accent3" w:themeTint="98" w:themeShade="95"/>
        <w:sz w:val="22"/>
      </w:rPr>
      <w:tcPr>
        <w:shd w:val="clear" w:color="ffffff" w:fill="e8e8e8" w:themeFill="accent3" w:themeFillTint="40"/>
      </w:tcPr>
    </w:tblStylePr>
    <w:tblStylePr w:type="band1Vert">
      <w:tcPr>
        <w:shd w:val="clear" w:color="ffffff" w:fill="e8e8e8" w:themeFill="accent3" w:themeFillTint="40"/>
      </w:tcPr>
    </w:tblStylePr>
    <w:tblStylePr w:type="band2Horz">
      <w:rPr>
        <w:color w:val="757575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sz="4" w:space="0"/>
        </w:tcBorders>
      </w:tcPr>
    </w:tblStylePr>
  </w:style>
  <w:style w:type="table" w:styleId="2292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cd9600" w:themeColor="accent4" w:themeTint="9A" w:themeShade="95"/>
        <w:sz w:val="22"/>
      </w:rPr>
      <w:tcPr>
        <w:shd w:val="clear" w:color="ffffff" w:fill="ffefbf" w:themeFill="accent4" w:themeFillTint="40"/>
      </w:tcPr>
    </w:tblStylePr>
    <w:tblStylePr w:type="band1Vert">
      <w:tcPr>
        <w:shd w:val="clear" w:color="ffffff" w:fill="ffefbf" w:themeFill="accent4" w:themeFillTint="40"/>
      </w:tcPr>
    </w:tblStylePr>
    <w:tblStylePr w:type="band2Horz">
      <w:rPr>
        <w:color w:val="cd960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sz="4" w:space="0"/>
        </w:tcBorders>
      </w:tcPr>
    </w:tblStylePr>
  </w:style>
  <w:style w:type="table" w:styleId="2293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335e9e" w:themeColor="accent5" w:themeTint="9A" w:themeShade="95"/>
        <w:sz w:val="22"/>
      </w:rPr>
      <w:tcPr>
        <w:shd w:val="clear" w:color="ffffff" w:fill="cfdcf0" w:themeFill="accent5" w:themeFillTint="40"/>
      </w:tcPr>
    </w:tblStylePr>
    <w:tblStylePr w:type="band1Vert">
      <w:tcPr>
        <w:shd w:val="clear" w:color="ffffff" w:fill="cfdcf0" w:themeFill="accent5" w:themeFillTint="40"/>
      </w:tcPr>
    </w:tblStylePr>
    <w:tblStylePr w:type="band2Horz">
      <w:rPr>
        <w:color w:val="335e9e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sz="4" w:space="0"/>
        </w:tcBorders>
      </w:tcPr>
    </w:tblStylePr>
  </w:style>
  <w:style w:type="table" w:styleId="2294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5f8f3c" w:themeColor="accent6" w:themeTint="98" w:themeShade="95"/>
        <w:sz w:val="22"/>
      </w:rPr>
      <w:tcPr>
        <w:shd w:val="clear" w:color="ffffff" w:fill="dbebd0" w:themeFill="accent6" w:themeFillTint="40"/>
      </w:tcPr>
    </w:tblStylePr>
    <w:tblStylePr w:type="band1Vert">
      <w:tcPr>
        <w:shd w:val="clear" w:color="ffffff" w:fill="dbebd0" w:themeFill="accent6" w:themeFillTint="40"/>
      </w:tcPr>
    </w:tblStylePr>
    <w:tblStylePr w:type="band2Horz">
      <w:rPr>
        <w:color w:val="5f8f3c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sz="4" w:space="0"/>
        </w:tcBorders>
      </w:tcPr>
    </w:tblStylePr>
  </w:style>
  <w:style w:type="table" w:styleId="2295">
    <w:name w:val="List Table 7 Colorfu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color w:val="4a4a4a" w:themeColor="text1" w:themeTint="80" w:themeShade="95"/>
        <w:sz w:val="22"/>
      </w:rPr>
    </w:tblStylePr>
  </w:style>
  <w:style w:type="table" w:styleId="2296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245d8d" w:themeColor="accent1" w:themeShade="95"/>
        <w:sz w:val="22"/>
      </w:rPr>
      <w:tcPr>
        <w:shd w:val="clear" w:color="ffffff" w:fill="d5e6f4" w:themeFill="accent1" w:themeFillTint="40"/>
      </w:tcPr>
    </w:tblStylePr>
    <w:tblStylePr w:type="band1Vert">
      <w:tcPr>
        <w:shd w:val="clear" w:color="ffffff" w:fill="d5e6f4" w:themeFill="accent1" w:themeFillTint="40"/>
      </w:tcPr>
    </w:tblStylePr>
    <w:tblStylePr w:type="band2Horz">
      <w:rPr>
        <w:color w:val="245d8d" w:themeColor="accent1" w:themeShade="95"/>
        <w:sz w:val="22"/>
      </w:rPr>
    </w:tblStylePr>
    <w:tblStylePr w:type="firstCol">
      <w:rPr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245d8d" w:themeColor="accent1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245d8d" w:themeColor="accent1" w:themeShade="95"/>
        <w:sz w:val="22"/>
      </w:r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color w:val="245d8d" w:themeColor="accent1" w:themeShade="95"/>
        <w:sz w:val="22"/>
      </w:rPr>
    </w:tblStylePr>
  </w:style>
  <w:style w:type="table" w:styleId="2297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c95712" w:themeColor="accent2" w:themeTint="97" w:themeShade="95"/>
        <w:sz w:val="22"/>
      </w:rPr>
      <w:tcPr>
        <w:shd w:val="clear" w:color="ffffff" w:fill="fadecb" w:themeFill="accent2" w:themeFillTint="40"/>
      </w:tcPr>
    </w:tblStylePr>
    <w:tblStylePr w:type="band1Vert">
      <w:tcPr>
        <w:shd w:val="clear" w:color="ffffff" w:fill="fadecb" w:themeFill="accent2" w:themeFillTint="40"/>
      </w:tcPr>
    </w:tblStylePr>
    <w:tblStylePr w:type="band2Horz">
      <w:rPr>
        <w:color w:val="c95712" w:themeColor="accent2" w:themeTint="97" w:themeShade="95"/>
        <w:sz w:val="22"/>
      </w:rPr>
    </w:tblStylePr>
    <w:tblStylePr w:type="firstCol">
      <w:rPr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c95712" w:themeColor="accent2" w:themeTint="97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95712" w:themeColor="accent2" w:themeTint="97" w:themeShade="95"/>
        <w:sz w:val="22"/>
      </w:r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color w:val="c95712" w:themeColor="accent2" w:themeTint="97" w:themeShade="95"/>
        <w:sz w:val="22"/>
      </w:rPr>
    </w:tblStylePr>
  </w:style>
  <w:style w:type="table" w:styleId="2298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757575" w:themeColor="accent3" w:themeTint="98" w:themeShade="95"/>
        <w:sz w:val="22"/>
      </w:rPr>
      <w:tcPr>
        <w:shd w:val="clear" w:color="ffffff" w:fill="e8e8e8" w:themeFill="accent3" w:themeFillTint="40"/>
      </w:tcPr>
    </w:tblStylePr>
    <w:tblStylePr w:type="band1Vert">
      <w:tcPr>
        <w:shd w:val="clear" w:color="ffffff" w:fill="e8e8e8" w:themeFill="accent3" w:themeFillTint="40"/>
      </w:tcPr>
    </w:tblStylePr>
    <w:tblStylePr w:type="band2Horz">
      <w:rPr>
        <w:color w:val="757575" w:themeColor="accent3" w:themeTint="98" w:themeShade="95"/>
        <w:sz w:val="22"/>
      </w:rPr>
    </w:tblStylePr>
    <w:tblStylePr w:type="firstCol">
      <w:rPr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757575" w:themeColor="accent3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757575" w:themeColor="accent3" w:themeTint="98" w:themeShade="95"/>
        <w:sz w:val="22"/>
      </w:r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color w:val="757575" w:themeColor="accent3" w:themeTint="98" w:themeShade="95"/>
        <w:sz w:val="22"/>
      </w:rPr>
    </w:tblStylePr>
  </w:style>
  <w:style w:type="table" w:styleId="2299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cd9600" w:themeColor="accent4" w:themeTint="9A" w:themeShade="95"/>
        <w:sz w:val="22"/>
      </w:rPr>
      <w:tcPr>
        <w:shd w:val="clear" w:color="ffffff" w:fill="ffefbf" w:themeFill="accent4" w:themeFillTint="40"/>
      </w:tcPr>
    </w:tblStylePr>
    <w:tblStylePr w:type="band1Vert">
      <w:tcPr>
        <w:shd w:val="clear" w:color="ffffff" w:fill="ffefbf" w:themeFill="accent4" w:themeFillTint="40"/>
      </w:tcPr>
    </w:tblStylePr>
    <w:tblStylePr w:type="band2Horz">
      <w:rPr>
        <w:color w:val="cd9600" w:themeColor="accent4" w:themeTint="9A" w:themeShade="95"/>
        <w:sz w:val="22"/>
      </w:rPr>
    </w:tblStylePr>
    <w:tblStylePr w:type="firstCol">
      <w:rPr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cd9600" w:themeColor="accent4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cd9600" w:themeColor="accent4" w:themeTint="9A" w:themeShade="95"/>
        <w:sz w:val="22"/>
      </w:r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color w:val="cd9600" w:themeColor="accent4" w:themeTint="9A" w:themeShade="95"/>
        <w:sz w:val="22"/>
      </w:rPr>
    </w:tblStylePr>
  </w:style>
  <w:style w:type="table" w:styleId="2300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335e9e" w:themeColor="accent5" w:themeTint="9A" w:themeShade="95"/>
        <w:sz w:val="22"/>
      </w:rPr>
      <w:tcPr>
        <w:shd w:val="clear" w:color="ffffff" w:fill="cfdcf0" w:themeFill="accent5" w:themeFillTint="40"/>
      </w:tcPr>
    </w:tblStylePr>
    <w:tblStylePr w:type="band1Vert">
      <w:tcPr>
        <w:shd w:val="clear" w:color="ffffff" w:fill="cfdcf0" w:themeFill="accent5" w:themeFillTint="40"/>
      </w:tcPr>
    </w:tblStylePr>
    <w:tblStylePr w:type="band2Horz">
      <w:rPr>
        <w:color w:val="335e9e" w:themeColor="accent5" w:themeTint="9A" w:themeShade="95"/>
        <w:sz w:val="22"/>
      </w:rPr>
    </w:tblStylePr>
    <w:tblStylePr w:type="firstCol">
      <w:rPr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335e9e" w:themeColor="accent5" w:themeTint="9A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335e9e" w:themeColor="accent5" w:themeTint="9A" w:themeShade="95"/>
        <w:sz w:val="22"/>
      </w:r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color w:val="335e9e" w:themeColor="accent5" w:themeTint="9A" w:themeShade="95"/>
        <w:sz w:val="22"/>
      </w:rPr>
    </w:tblStylePr>
  </w:style>
  <w:style w:type="table" w:styleId="2301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5f8f3c" w:themeColor="accent6" w:themeTint="98" w:themeShade="95"/>
        <w:sz w:val="22"/>
      </w:rPr>
      <w:tcPr>
        <w:shd w:val="clear" w:color="ffffff" w:fill="dbebd0" w:themeFill="accent6" w:themeFillTint="40"/>
      </w:tcPr>
    </w:tblStylePr>
    <w:tblStylePr w:type="band1Vert">
      <w:tcPr>
        <w:shd w:val="clear" w:color="ffffff" w:fill="dbebd0" w:themeFill="accent6" w:themeFillTint="40"/>
      </w:tcPr>
    </w:tblStylePr>
    <w:tblStylePr w:type="band2Horz">
      <w:rPr>
        <w:color w:val="5f8f3c" w:themeColor="accent6" w:themeTint="98" w:themeShade="95"/>
        <w:sz w:val="22"/>
      </w:rPr>
    </w:tblStylePr>
    <w:tblStylePr w:type="firstCol">
      <w:rPr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5f8f3c" w:themeColor="accent6" w:themeTint="98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5f8f3c" w:themeColor="accent6" w:themeTint="98" w:themeShade="95"/>
        <w:sz w:val="22"/>
      </w:r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color w:val="5f8f3c" w:themeColor="accent6" w:themeTint="98" w:themeShade="95"/>
        <w:sz w:val="22"/>
      </w:rPr>
    </w:tblStylePr>
  </w:style>
  <w:style w:type="table" w:styleId="2302">
    <w:name w:val="Lined - Accent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f2f2f2" w:themeFill="text1" w:themeFillTint="00"/>
      </w:tcPr>
    </w:tblStylePr>
    <w:tblStylePr w:type="band2Vert">
      <w:rPr>
        <w:sz w:val="22"/>
      </w:rPr>
      <w:tcPr>
        <w:shd w:val="clear" w:color="ffffff" w:fill="f2f2f2" w:themeFill="text1" w:themeFillTint="00"/>
      </w:tcPr>
    </w:tblStylePr>
    <w:tblStylePr w:type="firstCol">
      <w:rPr>
        <w:sz w:val="22"/>
      </w:rPr>
      <w:tcPr>
        <w:shd w:val="clear" w:color="ffffff" w:fill="7f7f7f" w:themeFill="text1" w:themeFillTint="80"/>
      </w:tcPr>
    </w:tblStylePr>
    <w:tblStylePr w:type="firstRow">
      <w:rPr>
        <w:sz w:val="22"/>
      </w:rPr>
      <w:tcPr>
        <w:shd w:val="clear" w:color="ffffff" w:fill="7f7f7f" w:themeFill="text1" w:themeFillTint="80"/>
      </w:tcPr>
    </w:tblStylePr>
    <w:tblStylePr w:type="lastCol">
      <w:rPr>
        <w:sz w:val="22"/>
      </w:rPr>
      <w:tcPr>
        <w:shd w:val="clear" w:color="ffffff" w:fill="7f7f7f" w:themeFill="text1" w:themeFillTint="80"/>
      </w:tcPr>
    </w:tblStylePr>
    <w:tblStylePr w:type="lastRow">
      <w:rPr>
        <w:sz w:val="22"/>
      </w:rPr>
      <w:tcPr>
        <w:shd w:val="clear" w:color="ffffff" w:fill="7f7f7f" w:themeFill="text1" w:themeFillTint="80"/>
      </w:tcPr>
    </w:tblStylePr>
  </w:style>
  <w:style w:type="table" w:styleId="2303">
    <w:name w:val="Lined - Accent 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cce0f1" w:themeFill="accent1" w:themeFillTint="50"/>
      </w:tcPr>
    </w:tblStylePr>
    <w:tblStylePr w:type="band2Vert">
      <w:rPr>
        <w:sz w:val="22"/>
      </w:rPr>
      <w:tcPr>
        <w:shd w:val="clear" w:color="ffffff" w:fill="cce0f1" w:themeFill="accent1" w:themeFillTint="50"/>
      </w:tcPr>
    </w:tblStylePr>
    <w:tblStylePr w:type="firstCol">
      <w:rPr>
        <w:sz w:val="22"/>
      </w:rPr>
      <w:tcPr>
        <w:shd w:val="clear" w:color="ffffff" w:fill="67a4d8" w:themeFill="accent1" w:themeFillTint="EA"/>
      </w:tcPr>
    </w:tblStylePr>
    <w:tblStylePr w:type="firstRow">
      <w:rPr>
        <w:sz w:val="22"/>
      </w:rPr>
      <w:tcPr>
        <w:shd w:val="clear" w:color="ffffff" w:fill="67a4d8" w:themeFill="accent1" w:themeFillTint="EA"/>
      </w:tcPr>
    </w:tblStylePr>
    <w:tblStylePr w:type="lastCol">
      <w:rPr>
        <w:sz w:val="22"/>
      </w:rPr>
      <w:tcPr>
        <w:shd w:val="clear" w:color="ffffff" w:fill="67a4d8" w:themeFill="accent1" w:themeFillTint="EA"/>
      </w:tcPr>
    </w:tblStylePr>
    <w:tblStylePr w:type="lastRow">
      <w:rPr>
        <w:sz w:val="22"/>
      </w:rPr>
      <w:tcPr>
        <w:shd w:val="clear" w:color="ffffff" w:fill="67a4d8" w:themeFill="accent1" w:themeFillTint="EA"/>
      </w:tcPr>
    </w:tblStylePr>
  </w:style>
  <w:style w:type="table" w:styleId="2304">
    <w:name w:val="Lined - Accent 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fbe5d6" w:themeFill="accent2" w:themeFillTint="32"/>
      </w:tcPr>
    </w:tblStylePr>
    <w:tblStylePr w:type="band2Vert">
      <w:rPr>
        <w:sz w:val="22"/>
      </w:rPr>
      <w:tcPr>
        <w:shd w:val="clear" w:color="ffffff" w:fill="fbe5d6" w:themeFill="accent2" w:themeFillTint="32"/>
      </w:tcPr>
    </w:tblStylePr>
    <w:tblStylePr w:type="firstCol">
      <w:rPr>
        <w:sz w:val="22"/>
      </w:rPr>
      <w:tcPr>
        <w:shd w:val="clear" w:color="ffffff" w:fill="f4b185" w:themeFill="accent2" w:themeFillTint="97"/>
      </w:tcPr>
    </w:tblStylePr>
    <w:tblStylePr w:type="firstRow">
      <w:rPr>
        <w:sz w:val="22"/>
      </w:rPr>
      <w:tcPr>
        <w:shd w:val="clear" w:color="ffffff" w:fill="f4b185" w:themeFill="accent2" w:themeFillTint="97"/>
      </w:tcPr>
    </w:tblStylePr>
    <w:tblStylePr w:type="lastCol">
      <w:rPr>
        <w:sz w:val="22"/>
      </w:rPr>
      <w:tcPr>
        <w:shd w:val="clear" w:color="ffffff" w:fill="f4b185" w:themeFill="accent2" w:themeFillTint="97"/>
      </w:tcPr>
    </w:tblStylePr>
    <w:tblStylePr w:type="lastRow">
      <w:rPr>
        <w:sz w:val="22"/>
      </w:rPr>
      <w:tcPr>
        <w:shd w:val="clear" w:color="ffffff" w:fill="f4b185" w:themeFill="accent2" w:themeFillTint="97"/>
      </w:tcPr>
    </w:tblStylePr>
  </w:style>
  <w:style w:type="table" w:styleId="2305">
    <w:name w:val="Lined - Accent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ededed" w:themeFill="accent3" w:themeFillTint="34"/>
      </w:tcPr>
    </w:tblStylePr>
    <w:tblStylePr w:type="band2Vert">
      <w:rPr>
        <w:sz w:val="22"/>
      </w:rPr>
      <w:tcPr>
        <w:shd w:val="clear" w:color="ffffff" w:fill="ededed" w:themeFill="accent3" w:themeFillTint="34"/>
      </w:tcPr>
    </w:tblStylePr>
    <w:tblStylePr w:type="firstCol">
      <w:rPr>
        <w:sz w:val="22"/>
      </w:rPr>
      <w:tcPr>
        <w:shd w:val="clear" w:color="ffffff" w:fill="a5a5a5" w:themeFill="accent3" w:themeFillTint="FE"/>
      </w:tcPr>
    </w:tblStylePr>
    <w:tblStylePr w:type="firstRow">
      <w:rPr>
        <w:sz w:val="22"/>
      </w:rPr>
      <w:tcPr>
        <w:shd w:val="clear" w:color="ffffff" w:fill="a5a5a5" w:themeFill="accent3" w:themeFillTint="FE"/>
      </w:tcPr>
    </w:tblStylePr>
    <w:tblStylePr w:type="lastCol">
      <w:rPr>
        <w:sz w:val="22"/>
      </w:rPr>
      <w:tcPr>
        <w:shd w:val="clear" w:color="ffffff" w:fill="a5a5a5" w:themeFill="accent3" w:themeFillTint="FE"/>
      </w:tcPr>
    </w:tblStylePr>
    <w:tblStylePr w:type="lastRow">
      <w:rPr>
        <w:sz w:val="22"/>
      </w:rPr>
      <w:tcPr>
        <w:shd w:val="clear" w:color="ffffff" w:fill="a5a5a5" w:themeFill="accent3" w:themeFillTint="FE"/>
      </w:tcPr>
    </w:tblStylePr>
  </w:style>
  <w:style w:type="table" w:styleId="2306">
    <w:name w:val="Lined - Accent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fef2cb" w:themeFill="accent4" w:themeFillTint="34"/>
      </w:tcPr>
    </w:tblStylePr>
    <w:tblStylePr w:type="band2Vert">
      <w:rPr>
        <w:sz w:val="22"/>
      </w:rPr>
      <w:tcPr>
        <w:shd w:val="clear" w:color="ffffff" w:fill="fef2cb" w:themeFill="accent4" w:themeFillTint="34"/>
      </w:tcPr>
    </w:tblStylePr>
    <w:tblStylePr w:type="firstCol">
      <w:rPr>
        <w:sz w:val="22"/>
      </w:rPr>
      <w:tcPr>
        <w:shd w:val="clear" w:color="ffffff" w:fill="ffd864" w:themeFill="accent4" w:themeFillTint="9A"/>
      </w:tcPr>
    </w:tblStylePr>
    <w:tblStylePr w:type="firstRow">
      <w:rPr>
        <w:sz w:val="22"/>
      </w:rPr>
      <w:tcPr>
        <w:shd w:val="clear" w:color="ffffff" w:fill="ffd864" w:themeFill="accent4" w:themeFillTint="9A"/>
      </w:tcPr>
    </w:tblStylePr>
    <w:tblStylePr w:type="lastCol">
      <w:rPr>
        <w:sz w:val="22"/>
      </w:rPr>
      <w:tcPr>
        <w:shd w:val="clear" w:color="ffffff" w:fill="ffd864" w:themeFill="accent4" w:themeFillTint="9A"/>
      </w:tcPr>
    </w:tblStylePr>
    <w:tblStylePr w:type="lastRow">
      <w:rPr>
        <w:sz w:val="22"/>
      </w:rPr>
      <w:tcPr>
        <w:shd w:val="clear" w:color="ffffff" w:fill="ffd864" w:themeFill="accent4" w:themeFillTint="9A"/>
      </w:tcPr>
    </w:tblStylePr>
  </w:style>
  <w:style w:type="table" w:styleId="2307">
    <w:name w:val="Lined - Accent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d9e2f2" w:themeFill="accent5" w:themeFillTint="34"/>
      </w:tcPr>
    </w:tblStylePr>
    <w:tblStylePr w:type="band2Vert">
      <w:rPr>
        <w:sz w:val="22"/>
      </w:rPr>
      <w:tcPr>
        <w:shd w:val="clear" w:color="ffffff" w:fill="d9e2f2" w:themeFill="accent5" w:themeFillTint="34"/>
      </w:tcPr>
    </w:tblStylePr>
    <w:tblStylePr w:type="firstCol">
      <w:rPr>
        <w:sz w:val="22"/>
      </w:rPr>
      <w:tcPr>
        <w:shd w:val="clear" w:color="ffffff" w:fill="4472c4" w:themeFill="accent5"/>
      </w:tcPr>
    </w:tblStylePr>
    <w:tblStylePr w:type="firstRow">
      <w:rPr>
        <w:sz w:val="22"/>
      </w:rPr>
      <w:tcPr>
        <w:shd w:val="clear" w:color="ffffff" w:fill="4472c4" w:themeFill="accent5"/>
      </w:tcPr>
    </w:tblStylePr>
    <w:tblStylePr w:type="lastCol">
      <w:rPr>
        <w:sz w:val="22"/>
      </w:rPr>
      <w:tcPr>
        <w:shd w:val="clear" w:color="ffffff" w:fill="4472c4" w:themeFill="accent5"/>
      </w:tcPr>
    </w:tblStylePr>
    <w:tblStylePr w:type="lastRow">
      <w:rPr>
        <w:sz w:val="22"/>
      </w:rPr>
      <w:tcPr>
        <w:shd w:val="clear" w:color="ffffff" w:fill="4472c4" w:themeFill="accent5"/>
      </w:tcPr>
    </w:tblStylePr>
  </w:style>
  <w:style w:type="table" w:styleId="2308">
    <w:name w:val="Lined - Accent 6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e2efd8" w:themeFill="accent6" w:themeFillTint="34"/>
      </w:tcPr>
    </w:tblStylePr>
    <w:tblStylePr w:type="band2Vert">
      <w:rPr>
        <w:sz w:val="22"/>
      </w:rPr>
      <w:tcPr>
        <w:shd w:val="clear" w:color="ffffff" w:fill="e2efd8" w:themeFill="accent6" w:themeFillTint="34"/>
      </w:tcPr>
    </w:tblStylePr>
    <w:tblStylePr w:type="firstCol">
      <w:rPr>
        <w:sz w:val="22"/>
      </w:rPr>
      <w:tcPr>
        <w:shd w:val="clear" w:color="ffffff" w:fill="70ad47" w:themeFill="accent6"/>
      </w:tcPr>
    </w:tblStylePr>
    <w:tblStylePr w:type="firstRow">
      <w:rPr>
        <w:sz w:val="22"/>
      </w:rPr>
      <w:tcPr>
        <w:shd w:val="clear" w:color="ffffff" w:fill="70ad47" w:themeFill="accent6"/>
      </w:tcPr>
    </w:tblStylePr>
    <w:tblStylePr w:type="lastCol">
      <w:rPr>
        <w:sz w:val="22"/>
      </w:rPr>
      <w:tcPr>
        <w:shd w:val="clear" w:color="ffffff" w:fill="70ad47" w:themeFill="accent6"/>
      </w:tcPr>
    </w:tblStylePr>
    <w:tblStylePr w:type="lastRow">
      <w:rPr>
        <w:sz w:val="22"/>
      </w:rPr>
      <w:tcPr>
        <w:shd w:val="clear" w:color="ffffff" w:fill="70ad47" w:themeFill="accent6"/>
      </w:tcPr>
    </w:tblStylePr>
  </w:style>
  <w:style w:type="table" w:styleId="2309">
    <w:name w:val="Bordered &amp; Lined - Accent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f2f2f2" w:themeFill="text1" w:themeFillTint="00"/>
      </w:tcPr>
    </w:tblStylePr>
    <w:tblStylePr w:type="band2Vert">
      <w:rPr>
        <w:sz w:val="22"/>
      </w:rPr>
      <w:tcPr>
        <w:shd w:val="clear" w:color="ffffff" w:fill="f2f2f2" w:themeFill="text1" w:themeFillTint="00"/>
      </w:tcPr>
    </w:tblStylePr>
    <w:tblStylePr w:type="firstCol">
      <w:rPr>
        <w:sz w:val="22"/>
      </w:rPr>
      <w:tcPr>
        <w:shd w:val="clear" w:color="ffffff" w:fill="7f7f7f" w:themeFill="text1" w:themeFillTint="80"/>
      </w:tcPr>
    </w:tblStylePr>
    <w:tblStylePr w:type="firstRow">
      <w:rPr>
        <w:sz w:val="22"/>
      </w:rPr>
      <w:tcPr>
        <w:shd w:val="clear" w:color="ffffff" w:fill="7f7f7f" w:themeFill="text1" w:themeFillTint="80"/>
      </w:tcPr>
    </w:tblStylePr>
    <w:tblStylePr w:type="lastCol">
      <w:rPr>
        <w:sz w:val="22"/>
      </w:rPr>
      <w:tcPr>
        <w:shd w:val="clear" w:color="ffffff" w:fill="7f7f7f" w:themeFill="text1" w:themeFillTint="80"/>
      </w:tcPr>
    </w:tblStylePr>
    <w:tblStylePr w:type="lastRow">
      <w:rPr>
        <w:sz w:val="22"/>
      </w:rPr>
      <w:tcPr>
        <w:shd w:val="clear" w:color="ffffff" w:fill="7f7f7f" w:themeFill="text1" w:themeFillTint="80"/>
      </w:tcPr>
    </w:tblStylePr>
  </w:style>
  <w:style w:type="table" w:styleId="2310">
    <w:name w:val="Bordered &amp; Lined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cce0f1" w:themeFill="accent1" w:themeFillTint="50"/>
      </w:tcPr>
    </w:tblStylePr>
    <w:tblStylePr w:type="band2Vert">
      <w:rPr>
        <w:sz w:val="22"/>
      </w:rPr>
      <w:tcPr>
        <w:shd w:val="clear" w:color="ffffff" w:fill="cce0f1" w:themeFill="accent1" w:themeFillTint="50"/>
      </w:tcPr>
    </w:tblStylePr>
    <w:tblStylePr w:type="firstCol">
      <w:rPr>
        <w:sz w:val="22"/>
      </w:rPr>
      <w:tcPr>
        <w:shd w:val="clear" w:color="ffffff" w:fill="67a4d8" w:themeFill="accent1" w:themeFillTint="EA"/>
      </w:tcPr>
    </w:tblStylePr>
    <w:tblStylePr w:type="firstRow">
      <w:rPr>
        <w:sz w:val="22"/>
      </w:rPr>
      <w:tcPr>
        <w:shd w:val="clear" w:color="ffffff" w:fill="67a4d8" w:themeFill="accent1" w:themeFillTint="EA"/>
      </w:tcPr>
    </w:tblStylePr>
    <w:tblStylePr w:type="lastCol">
      <w:rPr>
        <w:sz w:val="22"/>
      </w:rPr>
      <w:tcPr>
        <w:shd w:val="clear" w:color="ffffff" w:fill="67a4d8" w:themeFill="accent1" w:themeFillTint="EA"/>
      </w:tcPr>
    </w:tblStylePr>
    <w:tblStylePr w:type="lastRow">
      <w:rPr>
        <w:sz w:val="22"/>
      </w:rPr>
      <w:tcPr>
        <w:shd w:val="clear" w:color="ffffff" w:fill="67a4d8" w:themeFill="accent1" w:themeFillTint="EA"/>
      </w:tcPr>
    </w:tblStylePr>
  </w:style>
  <w:style w:type="table" w:styleId="2311">
    <w:name w:val="Bordered &amp; Lined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fbe5d6" w:themeFill="accent2" w:themeFillTint="32"/>
      </w:tcPr>
    </w:tblStylePr>
    <w:tblStylePr w:type="band2Vert">
      <w:rPr>
        <w:sz w:val="22"/>
      </w:rPr>
      <w:tcPr>
        <w:shd w:val="clear" w:color="ffffff" w:fill="fbe5d6" w:themeFill="accent2" w:themeFillTint="32"/>
      </w:tcPr>
    </w:tblStylePr>
    <w:tblStylePr w:type="firstCol">
      <w:rPr>
        <w:sz w:val="22"/>
      </w:rPr>
      <w:tcPr>
        <w:shd w:val="clear" w:color="ffffff" w:fill="f4b185" w:themeFill="accent2" w:themeFillTint="97"/>
      </w:tcPr>
    </w:tblStylePr>
    <w:tblStylePr w:type="firstRow">
      <w:rPr>
        <w:sz w:val="22"/>
      </w:rPr>
      <w:tcPr>
        <w:shd w:val="clear" w:color="ffffff" w:fill="f4b185" w:themeFill="accent2" w:themeFillTint="97"/>
      </w:tcPr>
    </w:tblStylePr>
    <w:tblStylePr w:type="lastCol">
      <w:rPr>
        <w:sz w:val="22"/>
      </w:rPr>
      <w:tcPr>
        <w:shd w:val="clear" w:color="ffffff" w:fill="f4b185" w:themeFill="accent2" w:themeFillTint="97"/>
      </w:tcPr>
    </w:tblStylePr>
    <w:tblStylePr w:type="lastRow">
      <w:rPr>
        <w:sz w:val="22"/>
      </w:rPr>
      <w:tcPr>
        <w:shd w:val="clear" w:color="ffffff" w:fill="f4b185" w:themeFill="accent2" w:themeFillTint="97"/>
      </w:tcPr>
    </w:tblStylePr>
  </w:style>
  <w:style w:type="table" w:styleId="2312">
    <w:name w:val="Bordered &amp; Lined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ededed" w:themeFill="accent3" w:themeFillTint="34"/>
      </w:tcPr>
    </w:tblStylePr>
    <w:tblStylePr w:type="band2Vert">
      <w:rPr>
        <w:sz w:val="22"/>
      </w:rPr>
      <w:tcPr>
        <w:shd w:val="clear" w:color="ffffff" w:fill="ededed" w:themeFill="accent3" w:themeFillTint="34"/>
      </w:tcPr>
    </w:tblStylePr>
    <w:tblStylePr w:type="firstCol">
      <w:rPr>
        <w:sz w:val="22"/>
      </w:rPr>
      <w:tcPr>
        <w:shd w:val="clear" w:color="ffffff" w:fill="a5a5a5" w:themeFill="accent3" w:themeFillTint="FE"/>
      </w:tcPr>
    </w:tblStylePr>
    <w:tblStylePr w:type="firstRow">
      <w:rPr>
        <w:sz w:val="22"/>
      </w:rPr>
      <w:tcPr>
        <w:shd w:val="clear" w:color="ffffff" w:fill="a5a5a5" w:themeFill="accent3" w:themeFillTint="FE"/>
      </w:tcPr>
    </w:tblStylePr>
    <w:tblStylePr w:type="lastCol">
      <w:rPr>
        <w:sz w:val="22"/>
      </w:rPr>
      <w:tcPr>
        <w:shd w:val="clear" w:color="ffffff" w:fill="a5a5a5" w:themeFill="accent3" w:themeFillTint="FE"/>
      </w:tcPr>
    </w:tblStylePr>
    <w:tblStylePr w:type="lastRow">
      <w:rPr>
        <w:sz w:val="22"/>
      </w:rPr>
      <w:tcPr>
        <w:shd w:val="clear" w:color="ffffff" w:fill="a5a5a5" w:themeFill="accent3" w:themeFillTint="FE"/>
      </w:tcPr>
    </w:tblStylePr>
  </w:style>
  <w:style w:type="table" w:styleId="2313">
    <w:name w:val="Bordered &amp; Lined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fef2cb" w:themeFill="accent4" w:themeFillTint="34"/>
      </w:tcPr>
    </w:tblStylePr>
    <w:tblStylePr w:type="band2Vert">
      <w:rPr>
        <w:sz w:val="22"/>
      </w:rPr>
      <w:tcPr>
        <w:shd w:val="clear" w:color="ffffff" w:fill="fef2cb" w:themeFill="accent4" w:themeFillTint="34"/>
      </w:tcPr>
    </w:tblStylePr>
    <w:tblStylePr w:type="firstCol">
      <w:rPr>
        <w:sz w:val="22"/>
      </w:rPr>
      <w:tcPr>
        <w:shd w:val="clear" w:color="ffffff" w:fill="ffd864" w:themeFill="accent4" w:themeFillTint="9A"/>
      </w:tcPr>
    </w:tblStylePr>
    <w:tblStylePr w:type="firstRow">
      <w:rPr>
        <w:sz w:val="22"/>
      </w:rPr>
      <w:tcPr>
        <w:shd w:val="clear" w:color="ffffff" w:fill="ffd864" w:themeFill="accent4" w:themeFillTint="9A"/>
      </w:tcPr>
    </w:tblStylePr>
    <w:tblStylePr w:type="lastCol">
      <w:rPr>
        <w:sz w:val="22"/>
      </w:rPr>
      <w:tcPr>
        <w:shd w:val="clear" w:color="ffffff" w:fill="ffd864" w:themeFill="accent4" w:themeFillTint="9A"/>
      </w:tcPr>
    </w:tblStylePr>
    <w:tblStylePr w:type="lastRow">
      <w:rPr>
        <w:sz w:val="22"/>
      </w:rPr>
      <w:tcPr>
        <w:shd w:val="clear" w:color="ffffff" w:fill="ffd864" w:themeFill="accent4" w:themeFillTint="9A"/>
      </w:tcPr>
    </w:tblStylePr>
  </w:style>
  <w:style w:type="table" w:styleId="2314">
    <w:name w:val="Bordered &amp; Lined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d9e2f2" w:themeFill="accent5" w:themeFillTint="34"/>
      </w:tcPr>
    </w:tblStylePr>
    <w:tblStylePr w:type="band2Vert">
      <w:rPr>
        <w:sz w:val="22"/>
      </w:rPr>
      <w:tcPr>
        <w:shd w:val="clear" w:color="ffffff" w:fill="d9e2f2" w:themeFill="accent5" w:themeFillTint="34"/>
      </w:tcPr>
    </w:tblStylePr>
    <w:tblStylePr w:type="firstCol">
      <w:rPr>
        <w:sz w:val="22"/>
      </w:rPr>
      <w:tcPr>
        <w:shd w:val="clear" w:color="ffffff" w:fill="4472c4" w:themeFill="accent5"/>
      </w:tcPr>
    </w:tblStylePr>
    <w:tblStylePr w:type="firstRow">
      <w:rPr>
        <w:sz w:val="22"/>
      </w:rPr>
      <w:tcPr>
        <w:shd w:val="clear" w:color="ffffff" w:fill="4472c4" w:themeFill="accent5"/>
      </w:tcPr>
    </w:tblStylePr>
    <w:tblStylePr w:type="lastCol">
      <w:rPr>
        <w:sz w:val="22"/>
      </w:rPr>
      <w:tcPr>
        <w:shd w:val="clear" w:color="ffffff" w:fill="4472c4" w:themeFill="accent5"/>
      </w:tcPr>
    </w:tblStylePr>
    <w:tblStylePr w:type="lastRow">
      <w:rPr>
        <w:sz w:val="22"/>
      </w:rPr>
      <w:tcPr>
        <w:shd w:val="clear" w:color="ffffff" w:fill="4472c4" w:themeFill="accent5"/>
      </w:tcPr>
    </w:tblStylePr>
  </w:style>
  <w:style w:type="table" w:styleId="2315">
    <w:name w:val="Bordered &amp; Lined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</w:tblStylePr>
    <w:tblStylePr w:type="band1Vert">
      <w:rPr>
        <w:sz w:val="22"/>
      </w:rPr>
    </w:tblStylePr>
    <w:tblStylePr w:type="band2Horz">
      <w:rPr>
        <w:sz w:val="22"/>
      </w:rPr>
      <w:tcPr>
        <w:shd w:val="clear" w:color="ffffff" w:fill="e2efd8" w:themeFill="accent6" w:themeFillTint="34"/>
      </w:tcPr>
    </w:tblStylePr>
    <w:tblStylePr w:type="band2Vert">
      <w:rPr>
        <w:sz w:val="22"/>
      </w:rPr>
      <w:tcPr>
        <w:shd w:val="clear" w:color="ffffff" w:fill="e2efd8" w:themeFill="accent6" w:themeFillTint="34"/>
      </w:tcPr>
    </w:tblStylePr>
    <w:tblStylePr w:type="firstCol">
      <w:rPr>
        <w:sz w:val="22"/>
      </w:rPr>
      <w:tcPr>
        <w:shd w:val="clear" w:color="ffffff" w:fill="70ad47" w:themeFill="accent6"/>
      </w:tcPr>
    </w:tblStylePr>
    <w:tblStylePr w:type="firstRow">
      <w:rPr>
        <w:sz w:val="22"/>
      </w:rPr>
      <w:tcPr>
        <w:shd w:val="clear" w:color="ffffff" w:fill="70ad47" w:themeFill="accent6"/>
      </w:tcPr>
    </w:tblStylePr>
    <w:tblStylePr w:type="lastCol">
      <w:rPr>
        <w:sz w:val="22"/>
      </w:rPr>
      <w:tcPr>
        <w:shd w:val="clear" w:color="ffffff" w:fill="70ad47" w:themeFill="accent6"/>
      </w:tcPr>
    </w:tblStylePr>
    <w:tblStylePr w:type="lastRow">
      <w:rPr>
        <w:sz w:val="22"/>
      </w:rPr>
      <w:tcPr>
        <w:shd w:val="clear" w:color="ffffff" w:fill="70ad47" w:themeFill="accent6"/>
      </w:tcPr>
    </w:tblStylePr>
  </w:style>
  <w:style w:type="table" w:styleId="2316">
    <w:name w:val="Bordered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cPr>
        <w:tcBorders>
          <w:top w:val="single" w:color="000000" w:themeColor="text1" w:sz="12" w:space="0"/>
        </w:tcBorders>
      </w:tcPr>
    </w:tblStylePr>
  </w:style>
  <w:style w:type="table" w:styleId="2317">
    <w:name w:val="Bordered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2318">
    <w:name w:val="Bordered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cPr>
        <w:tcBorders>
          <w:top w:val="single" w:color="000000" w:themeColor="accent2" w:sz="12" w:space="0"/>
        </w:tcBorders>
      </w:tcPr>
    </w:tblStylePr>
  </w:style>
  <w:style w:type="table" w:styleId="2319">
    <w:name w:val="Bordered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cPr>
        <w:tcBorders>
          <w:top w:val="single" w:color="000000" w:themeColor="accent3" w:sz="12" w:space="0"/>
        </w:tcBorders>
      </w:tcPr>
    </w:tblStylePr>
  </w:style>
  <w:style w:type="table" w:styleId="2320">
    <w:name w:val="Bordered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cPr>
        <w:tcBorders>
          <w:top w:val="single" w:color="000000" w:themeColor="accent4" w:sz="12" w:space="0"/>
        </w:tcBorders>
      </w:tcPr>
    </w:tblStylePr>
  </w:style>
  <w:style w:type="table" w:styleId="2321">
    <w:name w:val="Bordered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cPr>
        <w:tcBorders>
          <w:top w:val="single" w:color="000000" w:themeColor="accent5" w:sz="12" w:space="0"/>
        </w:tcBorders>
      </w:tcPr>
    </w:tblStylePr>
  </w:style>
  <w:style w:type="table" w:styleId="2322">
    <w:name w:val="Bordered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firstCol">
      <w:rPr>
        <w:sz w:val="22"/>
      </w:rPr>
    </w:tblStylePr>
    <w:tblStylePr w:type="firstRow">
      <w:rPr>
        <w:sz w:val="22"/>
      </w:r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cPr>
        <w:tcBorders>
          <w:top w:val="single" w:color="000000" w:themeColor="accent6" w:sz="12" w:space="0"/>
        </w:tcBorders>
      </w:tcPr>
    </w:tblStylePr>
  </w:style>
  <w:style w:type="table" w:styleId="2323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header" Target="header9.xml" /><Relationship Id="rId18" Type="http://schemas.openxmlformats.org/officeDocument/2006/relationships/header" Target="header10.xml" /><Relationship Id="rId19" Type="http://schemas.openxmlformats.org/officeDocument/2006/relationships/header" Target="header11.xml" /><Relationship Id="rId20" Type="http://schemas.openxmlformats.org/officeDocument/2006/relationships/header" Target="header12.xml" /><Relationship Id="rId21" Type="http://schemas.openxmlformats.org/officeDocument/2006/relationships/header" Target="header13.xml" /><Relationship Id="rId22" Type="http://schemas.openxmlformats.org/officeDocument/2006/relationships/header" Target="header14.xml" /><Relationship Id="rId23" Type="http://schemas.openxmlformats.org/officeDocument/2006/relationships/header" Target="header15.xml" /><Relationship Id="rId24" Type="http://schemas.openxmlformats.org/officeDocument/2006/relationships/header" Target="header16.xml" /><Relationship Id="rId25" Type="http://schemas.openxmlformats.org/officeDocument/2006/relationships/header" Target="header17.xml" /><Relationship Id="rId26" Type="http://schemas.openxmlformats.org/officeDocument/2006/relationships/header" Target="header18.xml" /><Relationship Id="rId27" Type="http://schemas.openxmlformats.org/officeDocument/2006/relationships/header" Target="header19.xml" /><Relationship Id="rId28" Type="http://schemas.openxmlformats.org/officeDocument/2006/relationships/header" Target="header20.xml" /><Relationship Id="rId29" Type="http://schemas.openxmlformats.org/officeDocument/2006/relationships/header" Target="header21.xml" /><Relationship Id="rId30" Type="http://schemas.openxmlformats.org/officeDocument/2006/relationships/header" Target="header22.xml" /><Relationship Id="rId31" Type="http://schemas.openxmlformats.org/officeDocument/2006/relationships/header" Target="header23.xml" /><Relationship Id="rId32" Type="http://schemas.openxmlformats.org/officeDocument/2006/relationships/header" Target="header24.xml" /><Relationship Id="rId33" Type="http://schemas.openxmlformats.org/officeDocument/2006/relationships/header" Target="header25.xml" /><Relationship Id="rId34" Type="http://schemas.openxmlformats.org/officeDocument/2006/relationships/header" Target="header26.xml" /><Relationship Id="rId35" Type="http://schemas.openxmlformats.org/officeDocument/2006/relationships/header" Target="header27.xml" /><Relationship Id="rId36" Type="http://schemas.openxmlformats.org/officeDocument/2006/relationships/header" Target="header28.xml" /><Relationship Id="rId37" Type="http://schemas.openxmlformats.org/officeDocument/2006/relationships/header" Target="header29.xml" /><Relationship Id="rId38" Type="http://schemas.openxmlformats.org/officeDocument/2006/relationships/header" Target="header30.xml" /><Relationship Id="rId39" Type="http://schemas.openxmlformats.org/officeDocument/2006/relationships/header" Target="header31.xml" /><Relationship Id="rId40" Type="http://schemas.openxmlformats.org/officeDocument/2006/relationships/footer" Target="footer1.xml" /><Relationship Id="rId41" Type="http://schemas.openxmlformats.org/officeDocument/2006/relationships/footer" Target="footer2.xml" /><Relationship Id="rId42" Type="http://schemas.openxmlformats.org/officeDocument/2006/relationships/footer" Target="footer3.xml" /><Relationship Id="rId43" Type="http://schemas.openxmlformats.org/officeDocument/2006/relationships/footer" Target="footer4.xml" /><Relationship Id="rId44" Type="http://schemas.openxmlformats.org/officeDocument/2006/relationships/footer" Target="footer5.xml" /><Relationship Id="rId45" Type="http://schemas.openxmlformats.org/officeDocument/2006/relationships/footer" Target="footer6.xml" /><Relationship Id="rId46" Type="http://schemas.openxmlformats.org/officeDocument/2006/relationships/footer" Target="footer7.xml" /><Relationship Id="rId47" Type="http://schemas.openxmlformats.org/officeDocument/2006/relationships/footer" Target="footer8.xml" /><Relationship Id="rId48" Type="http://schemas.openxmlformats.org/officeDocument/2006/relationships/footer" Target="footer9.xml" /><Relationship Id="rId49" Type="http://schemas.openxmlformats.org/officeDocument/2006/relationships/footer" Target="footer10.xml" /><Relationship Id="rId50" Type="http://schemas.openxmlformats.org/officeDocument/2006/relationships/footer" Target="footer11.xml" /><Relationship Id="rId51" Type="http://schemas.openxmlformats.org/officeDocument/2006/relationships/footer" Target="footer12.xml" /><Relationship Id="rId52" Type="http://schemas.openxmlformats.org/officeDocument/2006/relationships/footer" Target="footer13.xml" /><Relationship Id="rId53" Type="http://schemas.openxmlformats.org/officeDocument/2006/relationships/footer" Target="footer14.xml" /><Relationship Id="rId54" Type="http://schemas.openxmlformats.org/officeDocument/2006/relationships/footer" Target="footer15.xml" /><Relationship Id="rId55" Type="http://schemas.openxmlformats.org/officeDocument/2006/relationships/footer" Target="footer16.xml" /><Relationship Id="rId56" Type="http://schemas.openxmlformats.org/officeDocument/2006/relationships/footer" Target="footer17.xml" /><Relationship Id="rId57" Type="http://schemas.openxmlformats.org/officeDocument/2006/relationships/footer" Target="footer18.xml" /><Relationship Id="rId58" Type="http://schemas.openxmlformats.org/officeDocument/2006/relationships/footer" Target="footer19.xml" /><Relationship Id="rId59" Type="http://schemas.openxmlformats.org/officeDocument/2006/relationships/footer" Target="footer20.xml" /><Relationship Id="rId60" Type="http://schemas.openxmlformats.org/officeDocument/2006/relationships/footer" Target="footer21.xml" /><Relationship Id="rId61" Type="http://schemas.openxmlformats.org/officeDocument/2006/relationships/footer" Target="footer22.xml" /><Relationship Id="rId62" Type="http://schemas.openxmlformats.org/officeDocument/2006/relationships/footer" Target="footer23.xml" /><Relationship Id="rId63" Type="http://schemas.openxmlformats.org/officeDocument/2006/relationships/footer" Target="footer24.xml" /><Relationship Id="rId64" Type="http://schemas.openxmlformats.org/officeDocument/2006/relationships/footer" Target="footer25.xml" /><Relationship Id="rId65" Type="http://schemas.openxmlformats.org/officeDocument/2006/relationships/footer" Target="footer26.xml" /><Relationship Id="rId66" Type="http://schemas.openxmlformats.org/officeDocument/2006/relationships/footer" Target="footer27.xml" /><Relationship Id="rId67" Type="http://schemas.openxmlformats.org/officeDocument/2006/relationships/footer" Target="footer28.xml" /><Relationship Id="rId68" Type="http://schemas.openxmlformats.org/officeDocument/2006/relationships/footer" Target="footer29.xml" /><Relationship Id="rId69" Type="http://schemas.openxmlformats.org/officeDocument/2006/relationships/footer" Target="footer30.xml" /><Relationship Id="rId70" Type="http://schemas.openxmlformats.org/officeDocument/2006/relationships/footer" Target="footer31.xml" /><Relationship Id="rId71" Type="http://schemas.openxmlformats.org/officeDocument/2006/relationships/customXml" Target="../customXml/item1.xml" /><Relationship Id="rId72" Type="http://schemas.openxmlformats.org/officeDocument/2006/relationships/image" Target="media/image1.png"/><Relationship Id="rId73" Type="http://schemas.openxmlformats.org/officeDocument/2006/relationships/image" Target="media/media1.svg"/><Relationship Id="rId74" Type="http://schemas.openxmlformats.org/officeDocument/2006/relationships/image" Target="media/image2.png"/><Relationship Id="rId75" Type="http://schemas.openxmlformats.org/officeDocument/2006/relationships/image" Target="media/media2.svg"/><Relationship Id="rId76" Type="http://schemas.openxmlformats.org/officeDocument/2006/relationships/image" Target="media/image3.png"/><Relationship Id="rId77" Type="http://schemas.openxmlformats.org/officeDocument/2006/relationships/image" Target="media/image4.png"/><Relationship Id="rId78" Type="http://schemas.openxmlformats.org/officeDocument/2006/relationships/image" Target="media/image5.png"/><Relationship Id="rId79" Type="http://schemas.openxmlformats.org/officeDocument/2006/relationships/image" Target="media/image6.png"/><Relationship Id="rId80" Type="http://schemas.openxmlformats.org/officeDocument/2006/relationships/image" Target="media/image7.png"/><Relationship Id="rId81" Type="http://schemas.openxmlformats.org/officeDocument/2006/relationships/hyperlink" Target="smb://srvzdoc03/F:/&#1056;&#1045;&#1043;&#1051;&#1040;&#1052;&#1045;&#1053;&#1058;&#1067;/&#1056;&#1077;&#1075;&#1083;&#1072;&#1084;&#1077;&#1085;&#1090;%20&#1085;&#1072;%20&#1089;&#1086;&#1075;&#1083;&#1072;&#1089;&#1086;&#1074;&#1072;&#1085;&#1080;&#1077;/&#1057;&#1054;&#1043;&#1051;&#1040;&#1057;&#1054;&#1042;&#1040;&#1053;&#1048;&#1071;%20&#1080;%20&#1047;&#1040;&#1052;&#1045;&#1063;&#1040;&#1053;&#1048;&#1071;/&#1054;&#1090;%20&#1054;&#1054;&#1058;%20&#1058;&#1077;&#1082;&#1089;&#1090;_&#1058;&#1056;%20&#1085;&#1072;%20&#1082;&#1091;&#1089;&#1090;&#1099;%20&#1043;&#1057;%20&#1041;&#1053;&#1043;&#1050;&#1052;%20(&#1042;&#1086;&#1089;&#1089;&#1090;&#1072;&#1085;&#1086;&#1074;&#1083;&#1077;&#1085;).doc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er8.xml.rels><?xml version="1.0" encoding="UTF-8" standalone="yes"?><Relationships xmlns="http://schemas.openxmlformats.org/package/2006/relationships"></Relationships>
</file>

<file path=word/_rels/footer9.xml.rels><?xml version="1.0" encoding="UTF-8" standalone="yes"?><Relationships xmlns="http://schemas.openxmlformats.org/package/2006/relationships"></Relationships>
</file>

<file path=word/_rels/footer10.xml.rels><?xml version="1.0" encoding="UTF-8" standalone="yes"?><Relationships xmlns="http://schemas.openxmlformats.org/package/2006/relationships"></Relationships>
</file>

<file path=word/_rels/footer11.xml.rels><?xml version="1.0" encoding="UTF-8" standalone="yes"?><Relationships xmlns="http://schemas.openxmlformats.org/package/2006/relationships"></Relationships>
</file>

<file path=word/_rels/footer12.xml.rels><?xml version="1.0" encoding="UTF-8" standalone="yes"?><Relationships xmlns="http://schemas.openxmlformats.org/package/2006/relationships"></Relationships>
</file>

<file path=word/_rels/footer13.xml.rels><?xml version="1.0" encoding="UTF-8" standalone="yes"?><Relationships xmlns="http://schemas.openxmlformats.org/package/2006/relationships"></Relationships>
</file>

<file path=word/_rels/footer14.xml.rels><?xml version="1.0" encoding="UTF-8" standalone="yes"?><Relationships xmlns="http://schemas.openxmlformats.org/package/2006/relationships"></Relationships>
</file>

<file path=word/_rels/footer15.xml.rels><?xml version="1.0" encoding="UTF-8" standalone="yes"?><Relationships xmlns="http://schemas.openxmlformats.org/package/2006/relationships"></Relationships>
</file>

<file path=word/_rels/footer16.xml.rels><?xml version="1.0" encoding="UTF-8" standalone="yes"?><Relationships xmlns="http://schemas.openxmlformats.org/package/2006/relationships"></Relationships>
</file>

<file path=word/_rels/footer17.xml.rels><?xml version="1.0" encoding="UTF-8" standalone="yes"?><Relationships xmlns="http://schemas.openxmlformats.org/package/2006/relationships"></Relationships>
</file>

<file path=word/_rels/footer18.xml.rels><?xml version="1.0" encoding="UTF-8" standalone="yes"?><Relationships xmlns="http://schemas.openxmlformats.org/package/2006/relationships"></Relationships>
</file>

<file path=word/_rels/footer19.xml.rels><?xml version="1.0" encoding="UTF-8" standalone="yes"?><Relationships xmlns="http://schemas.openxmlformats.org/package/2006/relationships"></Relationships>
</file>

<file path=word/_rels/footer20.xml.rels><?xml version="1.0" encoding="UTF-8" standalone="yes"?><Relationships xmlns="http://schemas.openxmlformats.org/package/2006/relationships"></Relationships>
</file>

<file path=word/_rels/footer21.xml.rels><?xml version="1.0" encoding="UTF-8" standalone="yes"?><Relationships xmlns="http://schemas.openxmlformats.org/package/2006/relationships"></Relationships>
</file>

<file path=word/_rels/footer22.xml.rels><?xml version="1.0" encoding="UTF-8" standalone="yes"?><Relationships xmlns="http://schemas.openxmlformats.org/package/2006/relationships"></Relationships>
</file>

<file path=word/_rels/footer23.xml.rels><?xml version="1.0" encoding="UTF-8" standalone="yes"?><Relationships xmlns="http://schemas.openxmlformats.org/package/2006/relationships"></Relationships>
</file>

<file path=word/_rels/footer24.xml.rels><?xml version="1.0" encoding="UTF-8" standalone="yes"?><Relationships xmlns="http://schemas.openxmlformats.org/package/2006/relationships"></Relationships>
</file>

<file path=word/_rels/footer25.xml.rels><?xml version="1.0" encoding="UTF-8" standalone="yes"?><Relationships xmlns="http://schemas.openxmlformats.org/package/2006/relationships"></Relationships>
</file>

<file path=word/_rels/footer26.xml.rels><?xml version="1.0" encoding="UTF-8" standalone="yes"?><Relationships xmlns="http://schemas.openxmlformats.org/package/2006/relationships"></Relationships>
</file>

<file path=word/_rels/footer27.xml.rels><?xml version="1.0" encoding="UTF-8" standalone="yes"?><Relationships xmlns="http://schemas.openxmlformats.org/package/2006/relationships"></Relationships>
</file>

<file path=word/_rels/footer28.xml.rels><?xml version="1.0" encoding="UTF-8" standalone="yes"?><Relationships xmlns="http://schemas.openxmlformats.org/package/2006/relationships"></Relationships>
</file>

<file path=word/_rels/footer29.xml.rels><?xml version="1.0" encoding="UTF-8" standalone="yes"?><Relationships xmlns="http://schemas.openxmlformats.org/package/2006/relationships"></Relationships>
</file>

<file path=word/_rels/footer30.xml.rels><?xml version="1.0" encoding="UTF-8" standalone="yes"?><Relationships xmlns="http://schemas.openxmlformats.org/package/2006/relationships"></Relationships>
</file>

<file path=word/_rels/footer3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_rels/header9.xml.rels><?xml version="1.0" encoding="UTF-8" standalone="yes"?><Relationships xmlns="http://schemas.openxmlformats.org/package/2006/relationships"></Relationships>
</file>

<file path=word/_rels/header10.xml.rels><?xml version="1.0" encoding="UTF-8" standalone="yes"?><Relationships xmlns="http://schemas.openxmlformats.org/package/2006/relationships"></Relationships>
</file>

<file path=word/_rels/header11.xml.rels><?xml version="1.0" encoding="UTF-8" standalone="yes"?><Relationships xmlns="http://schemas.openxmlformats.org/package/2006/relationships"></Relationships>
</file>

<file path=word/_rels/header12.xml.rels><?xml version="1.0" encoding="UTF-8" standalone="yes"?><Relationships xmlns="http://schemas.openxmlformats.org/package/2006/relationships"></Relationships>
</file>

<file path=word/_rels/header13.xml.rels><?xml version="1.0" encoding="UTF-8" standalone="yes"?><Relationships xmlns="http://schemas.openxmlformats.org/package/2006/relationships"></Relationships>
</file>

<file path=word/_rels/header14.xml.rels><?xml version="1.0" encoding="UTF-8" standalone="yes"?><Relationships xmlns="http://schemas.openxmlformats.org/package/2006/relationships"></Relationships>
</file>

<file path=word/_rels/header15.xml.rels><?xml version="1.0" encoding="UTF-8" standalone="yes"?><Relationships xmlns="http://schemas.openxmlformats.org/package/2006/relationships"></Relationships>
</file>

<file path=word/_rels/header16.xml.rels><?xml version="1.0" encoding="UTF-8" standalone="yes"?><Relationships xmlns="http://schemas.openxmlformats.org/package/2006/relationships"></Relationships>
</file>

<file path=word/_rels/header17.xml.rels><?xml version="1.0" encoding="UTF-8" standalone="yes"?><Relationships xmlns="http://schemas.openxmlformats.org/package/2006/relationships"></Relationships>
</file>

<file path=word/_rels/header18.xml.rels><?xml version="1.0" encoding="UTF-8" standalone="yes"?><Relationships xmlns="http://schemas.openxmlformats.org/package/2006/relationships"></Relationships>
</file>

<file path=word/_rels/header19.xml.rels><?xml version="1.0" encoding="UTF-8" standalone="yes"?><Relationships xmlns="http://schemas.openxmlformats.org/package/2006/relationships"></Relationships>
</file>

<file path=word/_rels/header20.xml.rels><?xml version="1.0" encoding="UTF-8" standalone="yes"?><Relationships xmlns="http://schemas.openxmlformats.org/package/2006/relationships"></Relationships>
</file>

<file path=word/_rels/header21.xml.rels><?xml version="1.0" encoding="UTF-8" standalone="yes"?><Relationships xmlns="http://schemas.openxmlformats.org/package/2006/relationships"></Relationships>
</file>

<file path=word/_rels/header22.xml.rels><?xml version="1.0" encoding="UTF-8" standalone="yes"?><Relationships xmlns="http://schemas.openxmlformats.org/package/2006/relationships"></Relationships>
</file>

<file path=word/_rels/header23.xml.rels><?xml version="1.0" encoding="UTF-8" standalone="yes"?><Relationships xmlns="http://schemas.openxmlformats.org/package/2006/relationships"></Relationships>
</file>

<file path=word/_rels/header24.xml.rels><?xml version="1.0" encoding="UTF-8" standalone="yes"?><Relationships xmlns="http://schemas.openxmlformats.org/package/2006/relationships"></Relationships>
</file>

<file path=word/_rels/header25.xml.rels><?xml version="1.0" encoding="UTF-8" standalone="yes"?><Relationships xmlns="http://schemas.openxmlformats.org/package/2006/relationships"></Relationships>
</file>

<file path=word/_rels/header26.xml.rels><?xml version="1.0" encoding="UTF-8" standalone="yes"?><Relationships xmlns="http://schemas.openxmlformats.org/package/2006/relationships"></Relationships>
</file>

<file path=word/_rels/header27.xml.rels><?xml version="1.0" encoding="UTF-8" standalone="yes"?><Relationships xmlns="http://schemas.openxmlformats.org/package/2006/relationships"></Relationships>
</file>

<file path=word/_rels/header28.xml.rels><?xml version="1.0" encoding="UTF-8" standalone="yes"?><Relationships xmlns="http://schemas.openxmlformats.org/package/2006/relationships"></Relationships>
</file>

<file path=word/_rels/header29.xml.rels><?xml version="1.0" encoding="UTF-8" standalone="yes"?><Relationships xmlns="http://schemas.openxmlformats.org/package/2006/relationships"></Relationships>
</file>

<file path=word/_rels/header30.xml.rels><?xml version="1.0" encoding="UTF-8" standalone="yes"?><Relationships xmlns="http://schemas.openxmlformats.org/package/2006/relationships"></Relationships>
</file>

<file path=word/_rels/header3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9F79DF-CBDD-45C6-98A4-2727F30B64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>VNIPI</Company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ООО "Газпром добыча Надым"</dc:title>
  <dc:subject/>
  <dc:creator>buylov</dc:creator>
  <dc:description/>
  <dc:language>ru-RU</dc:language>
  <cp:lastModifiedBy>v_sibircev</cp:lastModifiedBy>
  <cp:revision>159</cp:revision>
  <dcterms:created xsi:type="dcterms:W3CDTF">2020-03-26T11:00:00Z</dcterms:created>
  <dcterms:modified xsi:type="dcterms:W3CDTF">2026-03-09T06:18:24Z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