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5C99" w:sz="8" w:space="4"/>
        </w:pBdr>
        <w:spacing w:after="100" w:before="200"/>
        <w:jc w:val="left"/>
      </w:pPr>
      <w:r>
        <w:rPr>
          <w:rFonts w:ascii="Arial" w:cs="Arial" w:eastAsia="Arial" w:hAnsi="Arial"/>
          <w:b/>
          <w:bCs/>
          <w:i w:val="false"/>
          <w:iCs w:val="false"/>
          <w:color w:val="1F5C99"/>
          <w:sz w:val="26"/>
          <w:szCs w:val="26"/>
        </w:rPr>
        <w:t xml:space="preserve">1. Project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rPr>
          <w:tblHeader/>
        </w:trPr>
        <w:tc>
          <w:tcPr>
            <w:tcW w:type="dxa" w:w="3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Parameter</w:t>
            </w:r>
          </w:p>
        </w:tc>
        <w:tc>
          <w:tcPr>
            <w:tcW w:type="dxa" w:w="1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Data volume</w:t>
            </w:r>
          </w:p>
        </w:tc>
        <w:tc>
          <w:tcPr>
            <w:tcW w:type="dxa" w:w="1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72 TB archived data</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Source</w:t>
            </w:r>
          </w:p>
        </w:tc>
        <w:tc>
          <w:tcPr>
            <w:tcW w:type="dxa" w:w="1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Blob Storage, West US 2  (managed by HubStor / Cohesity)</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Destination</w:t>
            </w:r>
          </w:p>
        </w:tc>
        <w:tc>
          <w:tcPr>
            <w:tcW w:type="dxa" w:w="1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S3, us-east-2 (Ohio)</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Transfer method</w:t>
            </w:r>
          </w:p>
        </w:tc>
        <w:tc>
          <w:tcPr>
            <w:tcW w:type="dxa" w:w="1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Hardware appliances: Azure Data Box Heavy (100TB) + AWS Snowball Edge Storage Optimized (x2, 80TB each)</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Pre-PoC transfer</w:t>
            </w:r>
          </w:p>
        </w:tc>
        <w:tc>
          <w:tcPr>
            <w:tcW w:type="dxa" w:w="1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Internet (AWS CLI / HTTPS) — 50–100GB sample only, no hardware required</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Archive software</w:t>
            </w:r>
          </w:p>
        </w:tc>
        <w:tc>
          <w:tcPr>
            <w:tcW w:type="dxa" w:w="1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HubStor (Cohesity) — being decommissioned. Data extracted via native export before migration.</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Total project duration</w:t>
            </w:r>
          </w:p>
        </w:tc>
        <w:tc>
          <w:tcPr>
            <w:tcW w:type="dxa" w:w="1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58 days end-to-end  (Stage 1 PoC: Days 1–9  |  Stage 2 Full Migration: Days 10–58)</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One-time cost</w:t>
            </w:r>
          </w:p>
        </w:tc>
        <w:tc>
          <w:tcPr>
            <w:tcW w:type="dxa" w:w="1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~$3,200–$3,600  (excluding internal staff time)</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Ongoing monthly cost</w:t>
            </w:r>
          </w:p>
        </w:tc>
        <w:tc>
          <w:tcPr>
            <w:tcW w:type="dxa" w:w="1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~$900/month  (S3 Standard-IA, 72TB @ $12.50/TB)  vs.  ~$1,657/month in Azure  =  saving ~$757/month</w:t>
            </w:r>
          </w:p>
        </w:tc>
      </w:tr>
      <w:tr>
        <w:tc>
          <w:tcPr>
            <w:tcW w:type="dxa" w:w="32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7"/>
                <w:szCs w:val="17"/>
              </w:rPr>
              <w:t xml:space="preserve">Annual saving</w:t>
            </w:r>
          </w:p>
        </w:tc>
        <w:tc>
          <w:tcPr>
            <w:tcW w:type="dxa" w:w="1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~$9,084/year after migration and decommission</w:t>
            </w:r>
          </w:p>
        </w:tc>
      </w:tr>
    </w:tbl>
    <w:p>
      <w:pPr>
        <w:spacing w:after="0" w:before="160"/>
        <w:jc w:val="left"/>
      </w:pPr>
      <w:r>
        <w:rPr>
          <w:rFonts w:ascii="Arial" w:cs="Arial" w:eastAsia="Arial" w:hAnsi="Arial"/>
          <w:b w:val="false"/>
          <w:bCs w:val="false"/>
          <w:i w:val="false"/>
          <w:iCs w:val="false"/>
          <w:color w:val="444444"/>
          <w:sz w:val="18"/>
          <w:szCs w:val="18"/>
        </w:rPr>
        <w:t xml:space="preserve"/>
      </w:r>
    </w:p>
    <w:p>
      <w:pPr>
        <w:pBdr>
          <w:bottom w:val="single" w:color="1F5C99" w:sz="8" w:space="4"/>
        </w:pBdr>
        <w:spacing w:after="100" w:before="200"/>
        <w:jc w:val="left"/>
      </w:pPr>
      <w:r>
        <w:rPr>
          <w:rFonts w:ascii="Arial" w:cs="Arial" w:eastAsia="Arial" w:hAnsi="Arial"/>
          <w:b/>
          <w:bCs/>
          <w:i w:val="false"/>
          <w:iCs w:val="false"/>
          <w:color w:val="1F5C99"/>
          <w:sz w:val="26"/>
          <w:szCs w:val="26"/>
        </w:rPr>
        <w:t xml:space="preserve">2. Phase Timeline — All 8 Phases  (Total: 58 Days)</w:t>
      </w:r>
    </w:p>
    <w:p>
      <w:pPr>
        <w:spacing w:after="40" w:before="80"/>
        <w:jc w:val="left"/>
      </w:pPr>
      <w:r>
        <w:rPr>
          <w:rFonts w:ascii="Arial" w:cs="Arial" w:eastAsia="Arial" w:hAnsi="Arial"/>
          <w:b w:val="false"/>
          <w:bCs w:val="false"/>
          <w:i/>
          <w:iCs/>
          <w:color w:val="666666"/>
          <w:sz w:val="15"/>
          <w:szCs w:val="15"/>
        </w:rPr>
        <w:t xml:space="preserve">Note: All days are from project kick-off. Stage 2 timelines assume PoC sign-off (M3) on Day 9. Add 5–7 days contingency buffer for stakeholder communication.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00"/>
        <w:gridCol w:w="600"/>
        <w:gridCol w:w="2000"/>
        <w:gridCol w:w="3500"/>
        <w:gridCol w:w="3000"/>
        <w:gridCol w:w="1000"/>
        <w:gridCol w:w="1100"/>
      </w:tblGrid>
      <w:tr>
        <w:trPr>
          <w:tblHeader/>
        </w:trPr>
        <w:tc>
          <w:tcPr>
            <w:tcW w:type="dxa" w:w="15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Phase</w:t>
            </w:r>
          </w:p>
        </w:tc>
        <w:tc>
          <w:tcPr>
            <w:tcW w:type="dxa" w:w="1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Period</w:t>
            </w:r>
          </w:p>
        </w:tc>
        <w:tc>
          <w:tcPr>
            <w:tcW w:type="dxa" w:w="7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Duration</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Milestone</w:t>
            </w:r>
          </w:p>
        </w:tc>
        <w:tc>
          <w:tcPr>
            <w:tcW w:type="dxa" w:w="2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Owner</w:t>
            </w:r>
          </w:p>
        </w:tc>
        <w:tc>
          <w:tcPr>
            <w:tcW w:type="dxa" w:w="35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What Happens</w:t>
            </w:r>
          </w:p>
        </w:tc>
        <w:tc>
          <w:tcPr>
            <w:tcW w:type="dxa" w:w="3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Dependencies</w:t>
            </w:r>
          </w:p>
        </w:tc>
        <w:tc>
          <w:tcPr>
            <w:tcW w:type="dxa" w:w="1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Cost</w:t>
            </w:r>
          </w:p>
        </w:tc>
        <w:tc>
          <w:tcPr>
            <w:tcW w:type="dxa" w:w="11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Risk</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Pre-PoC Setup</w:t>
            </w:r>
          </w:p>
          <w:p>
            <w:pPr>
              <w:spacing w:after="0" w:before="0"/>
              <w:jc w:val="left"/>
            </w:pPr>
            <w:r>
              <w:rPr>
                <w:rFonts w:ascii="Arial" w:cs="Arial" w:eastAsia="Arial" w:hAnsi="Arial"/>
                <w:b w:val="false"/>
                <w:bCs w:val="false"/>
                <w:i w:val="false"/>
                <w:iCs w:val="false"/>
                <w:color w:val="444444"/>
                <w:sz w:val="16"/>
                <w:szCs w:val="16"/>
              </w:rPr>
              <w:t xml:space="preserve">Days 1–3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1–3</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3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AM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Create AWS us-east-2 Landing Zone: S3 bucket, IAM roles, VPN/Direct Connect, CloudTrail, lifecycle policy. Validate end-to-end upload/download test.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account access. VPN or Direct Connect provisioned. IAM admin rights.</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~$0</w:t>
            </w:r>
          </w:p>
        </w:tc>
        <w:tc>
          <w:tcPr>
            <w:tcW w:type="dxa" w:w="11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Low</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Stage 1 — PoC</w:t>
            </w:r>
          </w:p>
          <w:p>
            <w:pPr>
              <w:spacing w:after="0" w:before="0"/>
              <w:jc w:val="left"/>
            </w:pPr>
            <w:r>
              <w:rPr>
                <w:rFonts w:ascii="Arial" w:cs="Arial" w:eastAsia="Arial" w:hAnsi="Arial"/>
                <w:b w:val="false"/>
                <w:bCs w:val="false"/>
                <w:i w:val="false"/>
                <w:iCs w:val="false"/>
                <w:color w:val="444444"/>
                <w:sz w:val="16"/>
                <w:szCs w:val="16"/>
              </w:rPr>
              <w:t xml:space="preserve">Days 3–9</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3–9</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6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M2–M3</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HubStor Admin + Your Team + Management</w:t>
            </w:r>
          </w:p>
        </w:tc>
        <w:tc>
          <w:tcPr>
            <w:tcW w:type="dxa" w:w="3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Select 50–100GB sample. HubStor native export. Checksum. Upload to S3. Download to on-prem. Verify. PoC report. Management sign-off gate.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Landing Zone (M1) validated. HubStor admin access. AWS CLI installed. IAM credentials configured.</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~$9 egress</w:t>
            </w:r>
          </w:p>
        </w:tc>
        <w:tc>
          <w:tcPr>
            <w:tcW w:type="dxa" w:w="11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Medium — if HubStor format is proprietary, investigation needed before proceeding</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Pre-Migration</w:t>
            </w:r>
          </w:p>
          <w:p>
            <w:pPr>
              <w:spacing w:after="0" w:before="0"/>
              <w:jc w:val="left"/>
            </w:pPr>
            <w:r>
              <w:rPr>
                <w:rFonts w:ascii="Arial" w:cs="Arial" w:eastAsia="Arial" w:hAnsi="Arial"/>
                <w:b w:val="false"/>
                <w:bCs w:val="false"/>
                <w:i w:val="false"/>
                <w:iCs w:val="false"/>
                <w:color w:val="444444"/>
                <w:sz w:val="16"/>
                <w:szCs w:val="16"/>
              </w:rPr>
              <w:t xml:space="preserve">Days 10–22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10–22</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13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M4–M6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HubStor Admin + Your Team + AWS AM + Azure AE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Full 72TB HubStor native export to NAS. Metadata catalog export. Order Snowball Edge x2. Contact Azure AE. Place Data Box Heavy order after NAS export validated.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PoC sign-off (M3). NAS with 75TB+ free space. Azure EA in place. AWS corporate account.</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~$3,000 (Snowball x2 + Data Box Heavy)</w:t>
            </w:r>
          </w:p>
        </w:tc>
        <w:tc>
          <w:tcPr>
            <w:tcW w:type="dxa" w:w="11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Medium — HubStor export duration depends on network speed</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Azure Data Box Phase</w:t>
            </w:r>
          </w:p>
          <w:p>
            <w:pPr>
              <w:spacing w:after="0" w:before="0"/>
              <w:jc w:val="left"/>
            </w:pPr>
            <w:r>
              <w:rPr>
                <w:rFonts w:ascii="Arial" w:cs="Arial" w:eastAsia="Arial" w:hAnsi="Arial"/>
                <w:b w:val="false"/>
                <w:bCs w:val="false"/>
                <w:i w:val="false"/>
                <w:iCs w:val="false"/>
                <w:color w:val="444444"/>
                <w:sz w:val="16"/>
                <w:szCs w:val="16"/>
              </w:rPr>
              <w:t xml:space="preserve">Days 22–32</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22–32</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10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M5→M7</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(automated) + Your Team</w:t>
            </w:r>
          </w:p>
        </w:tc>
        <w:tc>
          <w:tcPr>
            <w:tcW w:type="dxa" w:w="3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internal copy of NAS export data to Data Box Heavy. FedEx shipping to your datacenter. Facilities team receives device on pallet.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Data Box order placed (M5). NAS source data validated. Facilities team briefed (forklift/pallet jack required).</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Included in $2,400 Data Box fee</w:t>
            </w:r>
          </w:p>
        </w:tc>
        <w:tc>
          <w:tcPr>
            <w:tcW w:type="dxa" w:w="11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Low — Azure fully manages this step</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Your Site — Transfer</w:t>
            </w:r>
          </w:p>
          <w:p>
            <w:pPr>
              <w:spacing w:after="0" w:before="0"/>
              <w:jc w:val="left"/>
            </w:pPr>
            <w:r>
              <w:rPr>
                <w:rFonts w:ascii="Arial" w:cs="Arial" w:eastAsia="Arial" w:hAnsi="Arial"/>
                <w:b w:val="false"/>
                <w:bCs w:val="false"/>
                <w:i w:val="false"/>
                <w:iCs w:val="false"/>
                <w:color w:val="444444"/>
                <w:sz w:val="16"/>
                <w:szCs w:val="16"/>
              </w:rPr>
              <w:t xml:space="preserve">Days 32–41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32–41</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9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M7→M9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Connect Data Box (40GbE). Verify manifest. Copy NAS export to Snowball Edge via LAN (3–4 days at 40GbE). Verify checksums. Return Data Box. Ship Snowball.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Data Box on-site (M7). Snowball Edge on-site. 40GbE network infrastructure. AWS CLI configured on transfer server.</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~$200 shipping (pre-paid labels for both devices)</w:t>
            </w:r>
          </w:p>
        </w:tc>
        <w:tc>
          <w:tcPr>
            <w:tcW w:type="dxa" w:w="11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Medium — throughput depends on LAN speed and network stability</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AWS Ingestion</w:t>
            </w:r>
          </w:p>
          <w:p>
            <w:pPr>
              <w:spacing w:after="0" w:before="0"/>
              <w:jc w:val="left"/>
            </w:pPr>
            <w:r>
              <w:rPr>
                <w:rFonts w:ascii="Arial" w:cs="Arial" w:eastAsia="Arial" w:hAnsi="Arial"/>
                <w:b w:val="false"/>
                <w:bCs w:val="false"/>
                <w:i w:val="false"/>
                <w:iCs w:val="false"/>
                <w:color w:val="444444"/>
                <w:sz w:val="16"/>
                <w:szCs w:val="16"/>
              </w:rPr>
              <w:t xml:space="preserve">Days 41–49</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41–49</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8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M9→M10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(automated)</w:t>
            </w:r>
          </w:p>
        </w:tc>
        <w:tc>
          <w:tcPr>
            <w:tcW w:type="dxa" w:w="3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receives Snowball at us-east-2 facility. Verifies manifest. Ingests 72TB to your S3 bucket. SNS email notification sent on completion.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Snowball shipped (M9). S3 production bucket pre-created (M1). SNS topic configured for notification.</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$0 — S3 import via Snowball is always free</w:t>
            </w:r>
          </w:p>
        </w:tc>
        <w:tc>
          <w:tcPr>
            <w:tcW w:type="dxa" w:w="11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Low — fully automated and managed by AWS</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Validation</w:t>
            </w:r>
          </w:p>
          <w:p>
            <w:pPr>
              <w:spacing w:after="0" w:before="0"/>
              <w:jc w:val="left"/>
            </w:pPr>
            <w:r>
              <w:rPr>
                <w:rFonts w:ascii="Arial" w:cs="Arial" w:eastAsia="Arial" w:hAnsi="Arial"/>
                <w:b w:val="false"/>
                <w:bCs w:val="false"/>
                <w:i w:val="false"/>
                <w:iCs w:val="false"/>
                <w:color w:val="444444"/>
                <w:sz w:val="16"/>
                <w:szCs w:val="16"/>
              </w:rPr>
              <w:t xml:space="preserve">Days 49–55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49–55</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6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M10→M12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Enable S3 Inventory. Compare object counts and sizes vs. NAS manifest. On-prem restore test. Checksum spot-checks. App cutover preparation and smoke 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SNS ingestion notification (M10). AWS CLI access. S3 Inventory enabled. Application endpoint list prepared.</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$0 — staff time only</w:t>
            </w:r>
          </w:p>
        </w:tc>
        <w:tc>
          <w:tcPr>
            <w:tcW w:type="dxa" w:w="11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Low — if M4 NAS export was correctly validated</w:t>
            </w:r>
          </w:p>
        </w:tc>
      </w:tr>
      <w:tr>
        <w:tc>
          <w:tcPr>
            <w:tcW w:type="dxa" w:w="15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30" w:before="0"/>
              <w:jc w:val="left"/>
            </w:pPr>
            <w:r>
              <w:rPr>
                <w:rFonts w:ascii="Arial" w:cs="Arial" w:eastAsia="Arial" w:hAnsi="Arial"/>
                <w:b/>
                <w:bCs/>
                <w:i w:val="false"/>
                <w:iCs w:val="false"/>
                <w:color w:val="0D3B6E"/>
                <w:sz w:val="17"/>
                <w:szCs w:val="17"/>
              </w:rPr>
              <w:t xml:space="preserve">Cutover &amp; Decommission</w:t>
            </w:r>
          </w:p>
          <w:p>
            <w:pPr>
              <w:spacing w:after="0" w:before="0"/>
              <w:jc w:val="left"/>
            </w:pPr>
            <w:r>
              <w:rPr>
                <w:rFonts w:ascii="Arial" w:cs="Arial" w:eastAsia="Arial" w:hAnsi="Arial"/>
                <w:b w:val="false"/>
                <w:bCs w:val="false"/>
                <w:i w:val="false"/>
                <w:iCs w:val="false"/>
                <w:color w:val="444444"/>
                <w:sz w:val="16"/>
                <w:szCs w:val="16"/>
              </w:rPr>
              <w:t xml:space="preserve">Days 55–58</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55–58</w:t>
            </w:r>
          </w:p>
        </w:tc>
        <w:tc>
          <w:tcPr>
            <w:tcW w:type="dxa" w:w="700"/>
            <w:tcBorders>
              <w:top w:val="single" w:color="CCCCCC" w:sz="1"/>
              <w:left w:val="single" w:color="CCCCCC" w:sz="1"/>
              <w:bottom w:val="single" w:color="CCCCCC" w:sz="1"/>
              <w:right w:val="single" w:color="CCCCCC" w:sz="1"/>
            </w:tcBorders>
            <w:shd w:fill="EBF4FB"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F5C99"/>
                <w:sz w:val="16"/>
                <w:szCs w:val="16"/>
              </w:rPr>
              <w:t xml:space="preserve">3 days</w:t>
            </w:r>
          </w:p>
        </w:tc>
        <w:tc>
          <w:tcPr>
            <w:tcW w:type="dxa" w:w="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6"/>
                <w:szCs w:val="16"/>
              </w:rPr>
              <w:t xml:space="preserve">M12→M13</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Cohesity AE</w:t>
            </w:r>
          </w:p>
        </w:tc>
        <w:tc>
          <w:tcPr>
            <w:tcW w:type="dxa" w:w="3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Update all app endpoints to S3. Deploy Storage Gateway for on-prem NFS/SMB access. Delete Azure Blobs. Cancel HubStor licence. Retain erasure cert.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S3 validation signed off (M11). Storage Gateway VM ready on-prem. Cohesity AE notified. App change freeze window agreed.</w:t>
            </w:r>
          </w:p>
        </w:tc>
        <w:tc>
          <w:tcPr>
            <w:tcW w:type="dxa" w:w="10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6"/>
                <w:szCs w:val="16"/>
              </w:rPr>
              <w:t xml:space="preserve">$0 one-time — saves $757/month ongoing</w:t>
            </w:r>
          </w:p>
        </w:tc>
        <w:tc>
          <w:tcPr>
            <w:tcW w:type="dxa" w:w="11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Low — rollback possible while Azure Blobs still exist</w:t>
            </w:r>
          </w:p>
        </w:tc>
      </w:tr>
      <w:tr>
        <w:tc>
          <w:tcPr>
            <w:tcW w:type="dxa" w:w="3800"/>
            <w:gridSpan w:val="4"/>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7"/>
                <w:szCs w:val="17"/>
              </w:rPr>
              <w:t xml:space="preserve">TOTAL PROJECT</w:t>
            </w:r>
          </w:p>
        </w:tc>
        <w:tc>
          <w:tcPr>
            <w:tcW w:type="dxa" w:w="2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FFFFFF"/>
                <w:sz w:val="16"/>
                <w:szCs w:val="16"/>
              </w:rPr>
              <w:t xml:space="preserve">All teams — see Resources section</w:t>
            </w:r>
          </w:p>
        </w:tc>
        <w:tc>
          <w:tcPr>
            <w:tcW w:type="dxa" w:w="35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7"/>
                <w:szCs w:val="17"/>
              </w:rPr>
              <w:t xml:space="preserve">58 days end-to-end</w:t>
            </w:r>
          </w:p>
        </w:tc>
        <w:tc>
          <w:tcPr>
            <w:tcW w:type="dxa" w:w="3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FFFFFF"/>
                <w:sz w:val="16"/>
                <w:szCs w:val="16"/>
              </w:rPr>
              <w:t xml:space="preserve">See Resources section below</w:t>
            </w:r>
          </w:p>
        </w:tc>
        <w:tc>
          <w:tcPr>
            <w:tcW w:type="dxa" w:w="1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D700"/>
                <w:sz w:val="17"/>
                <w:szCs w:val="17"/>
              </w:rPr>
              <w:t xml:space="preserve">~$3,200–$3,600</w:t>
            </w:r>
          </w:p>
        </w:tc>
        <w:tc>
          <w:tcPr>
            <w:tcW w:type="dxa" w:w="11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E4F5EC"/>
                <w:sz w:val="16"/>
                <w:szCs w:val="16"/>
              </w:rPr>
              <w:t xml:space="preserve">Managed</w:t>
            </w:r>
          </w:p>
        </w:tc>
      </w:tr>
    </w:tbl>
    <w:p>
      <w:pPr>
        <w:sectPr>
          <w:headerReference w:type="default" r:id="rId7"/>
          <w:pgSz w:w="15840" w:h="12240" w:orient="landscape"/>
          <w:pgMar w:top="580" w:right="720" w:bottom="580" w:left="720" w:header="708" w:footer="708" w:gutter="0"/>
          <w:pgNumType/>
          <w:docGrid w:linePitch="360"/>
        </w:sectPr>
      </w:pPr>
    </w:p>
    <w:p>
      <w:pPr>
        <w:pBdr>
          <w:bottom w:val="single" w:color="1F5C99" w:sz="8" w:space="4"/>
        </w:pBdr>
        <w:spacing w:after="100" w:before="200"/>
        <w:jc w:val="left"/>
      </w:pPr>
      <w:r>
        <w:rPr>
          <w:rFonts w:ascii="Arial" w:cs="Arial" w:eastAsia="Arial" w:hAnsi="Arial"/>
          <w:b/>
          <w:bCs/>
          <w:i w:val="false"/>
          <w:iCs w:val="false"/>
          <w:color w:val="1F5C99"/>
          <w:sz w:val="26"/>
          <w:szCs w:val="26"/>
        </w:rPr>
        <w:t xml:space="preserve">3. Resources Required — By Provider</w:t>
      </w:r>
    </w:p>
    <w:p>
      <w:pPr>
        <w:spacing w:after="40" w:before="80"/>
        <w:jc w:val="left"/>
      </w:pPr>
      <w:r>
        <w:rPr>
          <w:rFonts w:ascii="Arial" w:cs="Arial" w:eastAsia="Arial" w:hAnsi="Arial"/>
          <w:b w:val="false"/>
          <w:bCs w:val="false"/>
          <w:i/>
          <w:iCs/>
          <w:color w:val="666666"/>
          <w:sz w:val="15"/>
          <w:szCs w:val="15"/>
        </w:rPr>
        <w:t xml:space="preserve">Note: Priority: Required = must be in place before the phase starts. Recommended = strongly advised but project can proceed without it.</w:t>
      </w:r>
    </w:p>
    <w:p>
      <w:pPr>
        <w:spacing w:after="0" w:before="80"/>
        <w:jc w:val="left"/>
      </w:pPr>
      <w:r>
        <w:rPr>
          <w:rFonts w:ascii="Arial" w:cs="Arial" w:eastAsia="Arial" w:hAnsi="Arial"/>
          <w:b w:val="false"/>
          <w:bCs w:val="false"/>
          <w:i w:val="false"/>
          <w:iCs w:val="false"/>
          <w:color w:val="444444"/>
          <w:sz w:val="18"/>
          <w:szCs w:val="18"/>
        </w:rPr>
        <w:t xml:space="preserve"/>
      </w:r>
    </w:p>
    <w:p>
      <w:pPr>
        <w:spacing w:after="70" w:before="140"/>
        <w:jc w:val="left"/>
      </w:pPr>
      <w:r>
        <w:rPr>
          <w:rFonts w:ascii="Arial" w:cs="Arial" w:eastAsia="Arial" w:hAnsi="Arial"/>
          <w:b/>
          <w:bCs/>
          <w:i w:val="false"/>
          <w:iCs w:val="false"/>
          <w:color w:val="0078D4"/>
          <w:sz w:val="20"/>
          <w:szCs w:val="20"/>
        </w:rPr>
        <w:t xml:space="preserve">3A.  Microsoft Azure Resources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400"/>
        <w:gridCol w:w="2200"/>
        <w:gridCol w:w="1400"/>
        <w:gridCol w:w="1200"/>
      </w:tblGrid>
      <w:tr>
        <w:tc>
          <w:tcPr>
            <w:tcW w:type="dxa" w:w="14400"/>
            <w:gridSpan w:val="7"/>
            <w:tcBorders>
              <w:top w:val="single" w:color="CCCCCC" w:sz="1"/>
              <w:left w:val="single" w:color="CCCCCC" w:sz="1"/>
              <w:bottom w:val="single" w:color="CCCCCC" w:sz="1"/>
              <w:right w:val="single" w:color="CCCCCC" w:sz="1"/>
            </w:tcBorders>
            <w:shd w:fill="DEECF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7"/>
                <w:szCs w:val="17"/>
              </w:rPr>
              <w:t xml:space="preserve">MICROSOFT AZURE — Resources, actions and costs</w:t>
            </w:r>
          </w:p>
        </w:tc>
      </w:tr>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Category</w:t>
            </w:r>
          </w:p>
        </w:tc>
        <w:tc>
          <w:tcPr>
            <w:tcW w:type="dxa" w:w="2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Item / Resource</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When Needed</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Who / Action Required</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Portal Access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Import/Export / Data Box</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Access to Azure Portal with Contributor rights on the Blob Storage account in West US 2. Required to place Data Box order and generate device passcodes.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3 (PoC) + Day 22 (Stage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confirm portal permissions with your Azure admin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Data Box Heavy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Hardware appliance (100TB)</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Purpose-built encrypted appliance for bulk data export. Azure copies Blob data internally — no egress fee. One device covers the full 72TB. Includes FedEx shipping and return label.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Order Day 22; arrives Day 32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places order via Azure Portal. Contact Microsoft AE to confirm no egress fee under EA.</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~$2,400 flat</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Microsoft Account Executive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EA contact / negotiation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Microsoft AE must confirm in writing that egress fees are waived for the Data Box export. Also engage for Azure FastTrack eligibility (free migration engineering for qualifying EA accounts).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(initiate) + Day 22 (order)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contact existing EA account manager. Request Migration Assistance support ticket.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Support — Data Box team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Technical order support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Raise a support ticket (Category: Data Box, Priority: A) for expedited device handling. Required if any issues arise with device passcode, shipping, or manifest validation.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22–32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Portal &gt; Help + Support &gt; New ticket &gt; Data Box category</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(included in support plan)</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FastTrack for Azure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Free migration engineering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Microsoft program providing free technical guidance for large migrations on eligible EA accounts. Can assist with Data Box configuration, Blob container identification, and timeline planning.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Ask your Microsoft AE — eligibility based on workload size and EA tier. URL: aka.ms/fasttrack</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(if eligible)</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Recommended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Blob Storage (source)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72TB in West US 2</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The source data store managed by HubStor. Must remain intact until S3 validation (M11) is signed off. Do not delete or modify containers during the migration.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1–58 (read-only)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ensure no new writes to archive containers during migration. Inform stakeholders of read-only freeze.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~$1,657/month (stops at M13)</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Azure SNS / Portal tracking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Data Box shipment tracking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FedEx tracking for Data Box shipment visible in Azure Portal under the Data Box order. Monitor device status from shipped to received and erased.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22–39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monitor Azure Portal. Azure emails tracking updates automatically.</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bl>
    <w:p>
      <w:pPr>
        <w:spacing w:after="0" w:before="160"/>
        <w:jc w:val="left"/>
      </w:pPr>
      <w:r>
        <w:rPr>
          <w:rFonts w:ascii="Arial" w:cs="Arial" w:eastAsia="Arial" w:hAnsi="Arial"/>
          <w:b w:val="false"/>
          <w:bCs w:val="false"/>
          <w:i w:val="false"/>
          <w:iCs w:val="false"/>
          <w:color w:val="444444"/>
          <w:sz w:val="18"/>
          <w:szCs w:val="18"/>
        </w:rPr>
        <w:t xml:space="preserve"/>
      </w:r>
    </w:p>
    <w:p>
      <w:pPr>
        <w:spacing w:after="70" w:before="140"/>
        <w:jc w:val="left"/>
      </w:pPr>
      <w:r>
        <w:rPr>
          <w:rFonts w:ascii="Arial" w:cs="Arial" w:eastAsia="Arial" w:hAnsi="Arial"/>
          <w:b/>
          <w:bCs/>
          <w:i w:val="false"/>
          <w:iCs w:val="false"/>
          <w:color w:val="CC7A00"/>
          <w:sz w:val="20"/>
          <w:szCs w:val="20"/>
        </w:rPr>
        <w:t xml:space="preserve">3B.  Amazon Web Services (AWS) Resources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400"/>
        <w:gridCol w:w="2200"/>
        <w:gridCol w:w="1400"/>
        <w:gridCol w:w="1200"/>
      </w:tblGrid>
      <w:tr>
        <w:tc>
          <w:tcPr>
            <w:tcW w:type="dxa" w:w="14400"/>
            <w:gridSpan w:val="7"/>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7"/>
                <w:szCs w:val="17"/>
              </w:rPr>
              <w:t xml:space="preserve">AMAZON WEB SERVICES (AWS) — Resources, actions and costs</w:t>
            </w:r>
          </w:p>
        </w:tc>
      </w:tr>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Category</w:t>
            </w:r>
          </w:p>
        </w:tc>
        <w:tc>
          <w:tcPr>
            <w:tcW w:type="dxa" w:w="2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Item / Resource</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When Needed</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Who / Action Required</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Account (us-east-2)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Corporate AWS account — Ohio region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Confirm your corporate AWS account has us-east-2 (Ohio) enabled. If using AWS Organizations or Control Tower, ensure the migration account has the required permissions and is not blocked by SCPs.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AM — verify region access. Engage AWS AM if SCP exceptions are needed.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Amazon S3 Bucket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Production archive bucket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Create S3 bucket in us-east-2: enable versioning, SSE-S3 encryption, block all public access, enable access logging, set lifecycle policy to transition to Standard-IA after 30 days. This bucket is used for both the PoC test and full migration.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via AWS Console or AWS CLI. Bucket must exist before Snowball order is placed.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~$900/month (S3 Standard-IA post-migration)</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IAM Migration Role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s3:PutObject + s3:GetObject + s3:ListBucket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Create IAM policy and role (or user) with least-privilege access: PutObject, GetObject, ListBucket, DeleteObject on the migration bucket only. Used during PoC upload, Snowball config, and post-migration validation.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Console &gt; IAM &gt; Policies &gt; Create. Attach to migration user or assume-role for CLI.</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IAM Read-Only Recovery Role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s3:GetObject + s3:ListBucket only</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Separate IAM role for on-prem restore operations and Storage Gateway. Principle of least privilege — no write or delete access. Used by Storage Gateway, AWS CLI restore commands, and end-user access.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Console &gt; IAM. Attach to Storage Gateway service role and on-prem recovery server.</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Snowball Edge x2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Storage Optimized, 80TB usable each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Two Snowball Edge Storage Optimized devices (160TB total capacity for 72TB data + headroom). Ordered after PoC sign-off (M3). AWS OpsHub GUI or Snowball CLI used for data ingestion. Devices are AES-256 encrypted.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Order Day 17; arrives ~Day 23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via AWS Console &gt; Snow Family &gt; Order a device. Ask AWS AM to expedite delivery (2–3 days for enterprise accounts).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~$600 (2x $300/device, 10-day rental)</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Snow Family Team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Ingestion support and tracking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team responsible for receiving, verifying, and ingesting Snowball devices at the us-east-2 facility. Monitor job status in AWS Console. SNS notification sent on ingestion completion.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41–49</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Contact via AWS Console support chat or through your TAM. No action needed — ingestion is fully automated.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Account Manager (AM)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Enterprise relationship + support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Primary AWS contact for Snowball ordering, expedited delivery, pricing negotiation, and Migration Acceleration Program (MAP) eligibility. MAP can offset migration costs for qualifying workloads.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onward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contact your existing AWS AM immediately. Ask about MAP eligibility and Snowball enterprise SLAs.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Technical Account Manager (TAM)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Technical advisory</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TAM provides technical guidance on Landing Zone setup, Snow Family configuration, S3 bucket policies, IAM design, and Storage Gateway deployment. Available under Business or Enterprise support plans.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1–58</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Contact via AWS Support console. Leverage for Landing Zone review and pre-migration architecture validation.</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Included in support plan</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Recommended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Direct Connect (or Site-to-Site VPN)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On-prem to AWS us-east-2 connectivity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Required for on-prem restore validation in PoC (downloading from S3) and for Storage Gateway operation post-migration. VPN: setup in hours, $0.05/hr + data transfer. Direct Connect: lower egress cost ($0.02/GB) but 30+ day provisioning lead time.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AM. If Direct Connect is needed, order immediately — lead time is 30–60 days. VPN is faster to set up for PoC.</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VPN: ~$0.05/hr + transfer. DX: $0.025/port-hr + $0.02/GB</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CloudTrail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Audit logging for all S3 + IAM activity</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Enable CloudTrail in us-east-2 to log all S3 object access, IAM role assumptions, and Snowball job events. Required for compliance and forensic audit trail throughout the migration.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Console &gt; CloudTrail &gt; Create trail. Enable for all regions. Log to a separate audit S3 bucket.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~$2/month (CloudTrail + S3 logs)</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Storage Gateway — File Gateway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Post-migration on-prem NFS/SMB access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Deploy as a VM (VMware ESXi, Hyper-V, or KVM) at your datacenter after cutover. Presents S3 as a standard NFS or SMB share to on-prem systems. Used for day-to-day file recovery without AWS CLI knowledge.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55 (Cutover — M12)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download VM from AWS Console &gt; Storage Gateway &gt; Create gateway. Size local cache at 20–25% of expected working set.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~$125/month (VM + $0.03/GB retrieval when used)</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Recommended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SNS Topic — Migration Notifications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Automated completion alerts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Create an SNS topic in us-east-2 subscribed to your team DL. Register it in the Snowball job and S3 Inventory job for automatic email notification on completion. Avoids manual polling of the AWS Console.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(Landing Zone)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AWS Console &gt; SNS &gt; Create topic &gt; Email subscription. Register in Snowball job during ordering.</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Recommended</w:t>
            </w:r>
          </w:p>
        </w:tc>
      </w:tr>
    </w:tbl>
    <w:p>
      <w:pPr>
        <w:sectPr>
          <w:headerReference w:type="default" r:id="rId8"/>
          <w:pgSz w:w="15840" w:h="12240" w:orient="landscape"/>
          <w:pgMar w:top="580" w:right="720" w:bottom="580" w:left="720" w:header="708" w:footer="708" w:gutter="0"/>
          <w:pgNumType/>
          <w:docGrid w:linePitch="360"/>
        </w:sectPr>
      </w:pPr>
    </w:p>
    <w:p>
      <w:pPr>
        <w:spacing w:after="70" w:before="140"/>
        <w:jc w:val="left"/>
      </w:pPr>
      <w:r>
        <w:rPr>
          <w:rFonts w:ascii="Arial" w:cs="Arial" w:eastAsia="Arial" w:hAnsi="Arial"/>
          <w:b/>
          <w:bCs/>
          <w:i w:val="false"/>
          <w:iCs w:val="false"/>
          <w:color w:val="7B52AE"/>
          <w:sz w:val="20"/>
          <w:szCs w:val="20"/>
        </w:rPr>
        <w:t xml:space="preserve">3C.  HubStor / Cohesity Resources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400"/>
        <w:gridCol w:w="2200"/>
        <w:gridCol w:w="1400"/>
        <w:gridCol w:w="1200"/>
      </w:tblGrid>
      <w:tr>
        <w:tc>
          <w:tcPr>
            <w:tcW w:type="dxa" w:w="14400"/>
            <w:gridSpan w:val="7"/>
            <w:tcBorders>
              <w:top w:val="single" w:color="CCCCCC" w:sz="1"/>
              <w:left w:val="single" w:color="CCCCCC" w:sz="1"/>
              <w:bottom w:val="single" w:color="CCCCCC" w:sz="1"/>
              <w:right w:val="single" w:color="CCCCCC" w:sz="1"/>
            </w:tcBorders>
            <w:shd w:fill="EDE8F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7B52AE"/>
                <w:sz w:val="17"/>
                <w:szCs w:val="17"/>
              </w:rPr>
              <w:t xml:space="preserve">HUBSTOR / COHESITY — Resources, actions and costs</w:t>
            </w:r>
          </w:p>
        </w:tc>
      </w:tr>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Category</w:t>
            </w:r>
          </w:p>
        </w:tc>
        <w:tc>
          <w:tcPr>
            <w:tcW w:type="dxa" w:w="2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Item / Resource</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When Needed</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Who / Action Required</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HubStor Admin Console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Admin access to HubStor portal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Full administrator access to the HubStor management console. Required to audit containers, initiate export jobs, export metadata catalog, and manage decommission. Confirm admin credentials are current before project start.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(audit) + Days 3–22 (export)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HubStor Admin — verify credentials. Contact Cohesity AE if admin access is locked or MFA is expired.</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(existing subscription)</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HubStor Native Export Job</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Archive Management &gt; Export Jobs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Run HubStor's built-in export to extract archive data as standard files with sidecar metadata JSON. PoC: 50–100GB sample to local folder (Day 3). Full: 72TB to local NAS (Days 10–20). Do not copy raw Azure Blobs.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3 (PoC sample) + Days 10–20 (full export)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HubStor Admin — console: Archive Management &gt; Export Jobs &gt; New Export. Set destination to NAS UNC path. Choose 'Native Files with Sidecar Metadata' format.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 built-in feature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HubStor Metadata Catalog Export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Reports &gt; Export Catalog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Export the full HubStor metadata catalog (all archived items, retention dates, legal holds, custodians, original paths) in CSV or XML format. Retained for compliance and audit even after HubStor is decommissioned.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7–10 (after PoC)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HubStor Admin — console: Reports &gt; Export Catalog. Store securely, separate from archive data. Review with legal team for any active legal holds.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 built-in feature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Container Audit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Identify archive vs. system containers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HubStor stores both end-user archive containers and internal system containers in Azure Blob. System containers (hubstor-system, hubstor-index, hubstor-journal) must NOT be exported or migrated to S3.</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1–3 (pre-PoC)</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HubStor Admin — console: Settings &gt; Storage &gt; Azure Blob. Document all container names. Flag and exclude system containers from all export jobs.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Cohesity / HubStor Account Executive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Decommission planning + export support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Primary contact for HubStor decommission planning, export runbook assistance, licence cancellation, and any issues with the native export job format. Engage early — decommission has a formal process.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(initiate) + Day 58 (decommission)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contact existing Cohesity AE or call 1-855-926-4310. Ask specifically for HubStor Decommission Runbook.</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(AE time is included)</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Legal Hold Review</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Compliance and eDiscovery</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Before decommissioning HubStor, your legal team must confirm there are no active legal holds on archived data. Legal holds must be honoured even after HubStor is decommissioned — the S3 bucket must replicate any hold conditions.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1–10 (pre-export)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Legal Team + HubStor Admin — review HubStor metadata catalog for legal hold flags before export. Configure S3 Object Lock if any holds are active.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(internal)</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NAS Staging Storage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75TB+ free space for full export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Local NAS or file server with at least 75TB of free space to receive the full HubStor native export. Must be accessible via UNC path or NFS mount from the HubStor export server. Also used as source for Data Box copy.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10–32 (export through Data Box copy)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confirm NAS capacity before starting full export (M4). At 1Gbps, 72TB fills in 6–7 days. At 10Gbps, ~16 hours.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(existing infrastructure)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Checksum Validation Tools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md5sum / sha256sum / PowerShell Get-FileHash</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Tools for generating and comparing checksums at each stage: HubStor export, Snowball copy, and S3 restore. Critical for confirming data integrity end-to-end. Available natively on Linux and Windows.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3–55 (all stages)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Team — Linux: md5sum or sha256sum. Windows: Get-FileHash. Document and store manifest files from each stage.</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(native OS tools)</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bl>
    <w:p>
      <w:pPr>
        <w:spacing w:after="0" w:before="160"/>
        <w:jc w:val="left"/>
      </w:pPr>
      <w:r>
        <w:rPr>
          <w:rFonts w:ascii="Arial" w:cs="Arial" w:eastAsia="Arial" w:hAnsi="Arial"/>
          <w:b w:val="false"/>
          <w:bCs w:val="false"/>
          <w:i w:val="false"/>
          <w:iCs w:val="false"/>
          <w:color w:val="444444"/>
          <w:sz w:val="18"/>
          <w:szCs w:val="18"/>
        </w:rPr>
        <w:t xml:space="preserve"/>
      </w:r>
    </w:p>
    <w:p>
      <w:pPr>
        <w:spacing w:after="70" w:before="140"/>
        <w:jc w:val="left"/>
      </w:pPr>
      <w:r>
        <w:rPr>
          <w:rFonts w:ascii="Arial" w:cs="Arial" w:eastAsia="Arial" w:hAnsi="Arial"/>
          <w:b/>
          <w:bCs/>
          <w:i w:val="false"/>
          <w:iCs w:val="false"/>
          <w:color w:val="1A6B3A"/>
          <w:sz w:val="20"/>
          <w:szCs w:val="20"/>
        </w:rPr>
        <w:t xml:space="preserve">3D.  Internal Team Resources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400"/>
        <w:gridCol w:w="2200"/>
        <w:gridCol w:w="1400"/>
        <w:gridCol w:w="1200"/>
      </w:tblGrid>
      <w:tr>
        <w:tc>
          <w:tcPr>
            <w:tcW w:type="dxa" w:w="14400"/>
            <w:gridSpan w:val="7"/>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7"/>
                <w:szCs w:val="17"/>
              </w:rPr>
              <w:t xml:space="preserve">INTERNAL TEAM — Resources, roles and responsibilities</w:t>
            </w:r>
          </w:p>
        </w:tc>
      </w:tr>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Category</w:t>
            </w:r>
          </w:p>
        </w:tc>
        <w:tc>
          <w:tcPr>
            <w:tcW w:type="dxa" w:w="2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Item / Resource</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When Needed</w:t>
            </w:r>
          </w:p>
        </w:tc>
        <w:tc>
          <w:tcPr>
            <w:tcW w:type="dxa" w:w="2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Who / Action Required</w:t>
            </w:r>
          </w:p>
        </w:tc>
        <w:tc>
          <w:tcPr>
            <w:tcW w:type="dxa" w:w="14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Project Manager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Migration project coordinator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Designated PM to coordinate all vendor interactions (Azure, AWS, Cohesity), track milestones, manage the change freeze window, and communicate progress to stakeholders. Full-time engagement required from Day 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1–58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assign a PM with cloud infrastructure experience. Escalation path: CTO/IT Director for go/no-go decisions at M3 and M11.</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HubStor Admin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Archive platform expert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Person with full HubStor admin console access and knowledge of the archive container structure. Responsible for container audit, export job execution, metadata catalog export, and decommission coordination.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1–22 (intensive) + Day 58 (decommission)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identify your HubStor admin. Confirm admin credentials and test console access before Day 1.</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Network / Infrastructure Engineer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LAN, 40GbE, NAS, VPN setup</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Responsible for: 40GbE switch configuration for Data Box and Snowball Edge connectivity, NAS provisioning (75TB+), VPN or Direct Connect setup to AWS us-east-2, and Storage Gateway VM deployment.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1–3 (LZ/VPN) + Days 32–41 (device transfer) + Day 55 (Gateway)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must be available full-time during the Data Box/Snowball transfer phase (Days 32–41). Coordinate with AWS TAM for Direct Connect.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AWS CLI Operator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S3 upload, Snowball, validation</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Person responsible for running all AWS CLI commands: PoC upload/download, Snowball CLI data copy, S3 Inventory analysis, checksum spot-checks, and post-migration validation. Requires AWS CLI installed and IAM credentials configured.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3–55</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train on AWS CLI and Snowball CLI before Day 3. AWS provides free training at aws.training. Snowball CLI guide: docs.aws.amazon.com/snowball.</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Facilities / Logistics Team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Data Box Heavy pallet receipt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The Data Box Heavy weighs ~500lb and arrives on a pallet. A forklift or powered pallet jack is required to receive and position the device. Coordinate with your building facilities team in advance of Day 32.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32 (device arrival)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brief facilities team at least 5 days before expected arrival. Confirm loading dock availability and forklift access.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(internal)</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Legal / Compliance Team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Legal hold review + erasure cert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Review HubStor metadata catalog for active legal holds before export. Configure S3 Object Lock if required. Accept and file the Azure data erasure certificate received after Data Box return.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7–10 (legal hold review) + Day 39 (erasure cert)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Legal team lead. Must sign off before HubStor export begins (confirm no holds prevent data movement).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Application Owners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Endpoint cutover + smoke tests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Each application team that currently reads from Azure Blob Storage or HubStor must update their connection strings to the S3 bucket at cutover (M12). Must participate in pre-cutover smoke testing.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49–55 (cutover prep and testing)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identify all application owners at project start. Provide a list of endpoints to update. Schedule a change freeze window for cutover.</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 staff time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Test Server (on-prem)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PoC and validation restore target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 separate on-prem machine (not the HubStor export server) for downloading and opening restored files during PoC (M2) and S3 validation (M11). Must have AWS CLI installed and network access to S3 via VPN/Direct Connect.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5–7 (PoC) + Days 49–53 (validation)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provision or identify an existing server. Install AWS CLI and test S3 connectivity before Day 3.</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(existing infrastructure)</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40GbE Network Infrastructure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Switch + cabling for device transfer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 40GbE capable switch and QSFP+ cabling are required to achieve maximum throughput from the Data Box Heavy and Snowball Edge. Without 40GbE, transfer throughput drops to 10GbE (~4x slower for the 72TB copy).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32–41 (on-site transfer)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confirm 40GbE switch availability. If not available, 10GbE will work but extend the transfer window by approximately 4 days.</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if existing; ~$2,000–$5,000 if new switch needed</w:t>
            </w:r>
          </w:p>
        </w:tc>
        <w:tc>
          <w:tcPr>
            <w:tcW w:type="dxa" w:w="12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9B1C1C"/>
                <w:sz w:val="15"/>
                <w:szCs w:val="15"/>
              </w:rPr>
              <w:t xml:space="preserve">Required</w:t>
            </w:r>
          </w:p>
        </w:tc>
      </w:tr>
      <w:tr>
        <w:tc>
          <w:tcPr>
            <w:tcW w:type="dxa" w:w="1600"/>
            <w:tcBorders>
              <w:top w:val="single" w:color="CCCCCC" w:sz="1"/>
              <w:left w:val="single" w:color="CCCCCC" w:sz="1"/>
              <w:bottom w:val="single" w:color="CCCCCC" w:sz="1"/>
              <w:right w:val="single" w:color="CCCCCC" w:sz="1"/>
            </w:tcBorders>
            <w:shd w:fill="D5E8F6"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D3B6E"/>
                <w:sz w:val="15"/>
                <w:szCs w:val="15"/>
              </w:rPr>
              <w:t xml:space="preserve">Storage Gateway VM Host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VMware ESXi, Hyper-V, or KVM</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 virtualisation host at your datacenter to run the AWS Storage Gateway File Gateway VM post-migration. Minimum specs: 4 vCPU, 16GB RAM, 150GB cache disk. Connected to your LAN and VPN/Direct Connect to AWS.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55 (post-cutover deployment)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 identify an existing VM host with spare capacity. Storage Gateway can share a host with other VMs. Cache disk size should be 20–25% of expected working set.</w:t>
            </w:r>
          </w:p>
        </w:tc>
        <w:tc>
          <w:tcPr>
            <w:tcW w:type="dxa" w:w="14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$0 (existing VM host)</w:t>
            </w:r>
          </w:p>
        </w:tc>
        <w:tc>
          <w:tcPr>
            <w:tcW w:type="dxa" w:w="12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Recommended</w:t>
            </w:r>
          </w:p>
        </w:tc>
      </w:tr>
    </w:tbl>
    <w:p>
      <w:pPr>
        <w:spacing w:after="0" w:before="160"/>
        <w:jc w:val="left"/>
      </w:pPr>
      <w:r>
        <w:rPr>
          <w:rFonts w:ascii="Arial" w:cs="Arial" w:eastAsia="Arial" w:hAnsi="Arial"/>
          <w:b w:val="false"/>
          <w:bCs w:val="false"/>
          <w:i w:val="false"/>
          <w:iCs w:val="false"/>
          <w:color w:val="444444"/>
          <w:sz w:val="18"/>
          <w:szCs w:val="18"/>
        </w:rPr>
        <w:t xml:space="preserve"/>
      </w:r>
    </w:p>
    <w:p>
      <w:pPr>
        <w:pBdr>
          <w:bottom w:val="single" w:color="1F5C99" w:sz="8" w:space="4"/>
        </w:pBdr>
        <w:spacing w:after="100" w:before="200"/>
        <w:jc w:val="left"/>
      </w:pPr>
      <w:r>
        <w:rPr>
          <w:rFonts w:ascii="Arial" w:cs="Arial" w:eastAsia="Arial" w:hAnsi="Arial"/>
          <w:b/>
          <w:bCs/>
          <w:i w:val="false"/>
          <w:iCs w:val="false"/>
          <w:color w:val="1F5C99"/>
          <w:sz w:val="26"/>
          <w:szCs w:val="26"/>
        </w:rPr>
        <w:t xml:space="preserve">4. Key Contacts — Who to Call and When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000"/>
        <w:gridCol w:w="1600"/>
        <w:gridCol w:w="4600"/>
      </w:tblGrid>
      <w:tr>
        <w:trPr>
          <w:tblHeader/>
        </w:trPr>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Provider / Team</w:t>
            </w:r>
          </w:p>
        </w:tc>
        <w:tc>
          <w:tcPr>
            <w:tcW w:type="dxa" w:w="2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Role / Contact</w:t>
            </w:r>
          </w:p>
        </w:tc>
        <w:tc>
          <w:tcPr>
            <w:tcW w:type="dxa" w:w="40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Purpose</w:t>
            </w:r>
          </w:p>
        </w:tc>
        <w:tc>
          <w:tcPr>
            <w:tcW w:type="dxa" w:w="1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When to Engage</w:t>
            </w:r>
          </w:p>
        </w:tc>
        <w:tc>
          <w:tcPr>
            <w:tcW w:type="dxa" w:w="4600"/>
            <w:tcBorders>
              <w:top w:val="single" w:color="CCCCCC" w:sz="1"/>
              <w:left w:val="single" w:color="CCCCCC" w:sz="1"/>
              <w:bottom w:val="single" w:color="CCCCCC" w:sz="1"/>
              <w:right w:val="single" w:color="CCCCCC" w:sz="1"/>
            </w:tcBorders>
            <w:shd w:fill="0D3B6E"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FFFFFF"/>
                <w:sz w:val="18"/>
                <w:szCs w:val="18"/>
              </w:rPr>
              <w:t xml:space="preserve">How to Reach</w:t>
            </w:r>
          </w:p>
        </w:tc>
      </w:tr>
      <w:tr>
        <w:tc>
          <w:tcPr>
            <w:tcW w:type="dxa" w:w="1600"/>
            <w:tcBorders>
              <w:top w:val="single" w:color="CCCCCC" w:sz="1"/>
              <w:left w:val="single" w:color="CCCCCC" w:sz="1"/>
              <w:bottom w:val="single" w:color="CCCCCC" w:sz="1"/>
              <w:right w:val="single" w:color="CCCCCC" w:sz="1"/>
            </w:tcBorders>
            <w:shd w:fill="DEECF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5"/>
                <w:szCs w:val="15"/>
              </w:rPr>
              <w:t xml:space="preserve">Microsoft / Azure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Microsoft Account Executive (AE)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EA pricing, Data Box order, egress fee waiver, FastTrack eligibility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 initiate immediately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existing EA contact. Request Migration Assistance support ticket via Azure Portal.</w:t>
            </w:r>
          </w:p>
        </w:tc>
      </w:tr>
      <w:tr>
        <w:tc>
          <w:tcPr>
            <w:tcW w:type="dxa" w:w="1600"/>
            <w:tcBorders>
              <w:top w:val="single" w:color="CCCCCC" w:sz="1"/>
              <w:left w:val="single" w:color="CCCCCC" w:sz="1"/>
              <w:bottom w:val="single" w:color="CCCCCC" w:sz="1"/>
              <w:right w:val="single" w:color="CCCCCC" w:sz="1"/>
            </w:tcBorders>
            <w:shd w:fill="DEECF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5"/>
                <w:szCs w:val="15"/>
              </w:rPr>
              <w:t xml:space="preserve">Microsoft / Azure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Support — Data Box team</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Technical order issues, device passcode, shipping delays, manifest problems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22–39 (active Data Box period)</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Portal &gt; Help + Support &gt; New ticket &gt; Category: Data Box &gt; Priority A</w:t>
            </w:r>
          </w:p>
        </w:tc>
      </w:tr>
      <w:tr>
        <w:tc>
          <w:tcPr>
            <w:tcW w:type="dxa" w:w="1600"/>
            <w:tcBorders>
              <w:top w:val="single" w:color="CCCCCC" w:sz="1"/>
              <w:left w:val="single" w:color="CCCCCC" w:sz="1"/>
              <w:bottom w:val="single" w:color="CCCCCC" w:sz="1"/>
              <w:right w:val="single" w:color="CCCCCC" w:sz="1"/>
            </w:tcBorders>
            <w:shd w:fill="DEECF9"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0078D4"/>
                <w:sz w:val="15"/>
                <w:szCs w:val="15"/>
              </w:rPr>
              <w:t xml:space="preserve">Microsoft / Azure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Azure FastTrack for Azure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Free migration engineering for qualifying EA accounts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1–10 (apply early)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aka.ms/fasttrack or via your Microsoft AE</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AWS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Account Manager (AM)</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Snowball ordering, expedited delivery, MAP program, enterprise pricing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 initiate immediately</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existing AWS AM. Ask about Migration Acceleration Program (MAP) cost offset eligibility.</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AWS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Technical Account Manager (TAM)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Landing Zone review, IAM design, Storage Gateway deployment, Snow Family guidance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1–58</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Support console &gt; Contact your TAM. Requires Business or Enterprise support plan.</w:t>
            </w:r>
          </w:p>
        </w:tc>
      </w:tr>
      <w:tr>
        <w:tc>
          <w:tcPr>
            <w:tcW w:type="dxa" w:w="1600"/>
            <w:tcBorders>
              <w:top w:val="single" w:color="CCCCCC" w:sz="1"/>
              <w:left w:val="single" w:color="CCCCCC" w:sz="1"/>
              <w:bottom w:val="single" w:color="CCCCCC" w:sz="1"/>
              <w:right w:val="single" w:color="CCCCCC" w:sz="1"/>
            </w:tcBorders>
            <w:shd w:fill="FFF3D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CC7A00"/>
                <w:sz w:val="15"/>
                <w:szCs w:val="15"/>
              </w:rPr>
              <w:t xml:space="preserve">AWS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Snow Family team</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Snowball device tracking, ingestion job status, delivery coordination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17–49 (Snowball period)</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AWS Console &gt; Snow Family &gt; your job &gt; Support. Or contact via your TAM.</w:t>
            </w:r>
          </w:p>
        </w:tc>
      </w:tr>
      <w:tr>
        <w:tc>
          <w:tcPr>
            <w:tcW w:type="dxa" w:w="1600"/>
            <w:tcBorders>
              <w:top w:val="single" w:color="CCCCCC" w:sz="1"/>
              <w:left w:val="single" w:color="CCCCCC" w:sz="1"/>
              <w:bottom w:val="single" w:color="CCCCCC" w:sz="1"/>
              <w:right w:val="single" w:color="CCCCCC" w:sz="1"/>
            </w:tcBorders>
            <w:shd w:fill="EDE8F8"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7B52AE"/>
                <w:sz w:val="15"/>
                <w:szCs w:val="15"/>
              </w:rPr>
              <w:t xml:space="preserve">Cohesity / HubStor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Cohesity Account Executive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HubStor decommission planning, export runbook, licence cancellation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 1 (planning) + Day 58 (decommission)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Your existing Cohesity AE, or call 1-855-926-4310. Request HubStor Decommission Runbook.</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Project Manager</w:t>
            </w:r>
          </w:p>
        </w:tc>
        <w:tc>
          <w:tcPr>
            <w:tcW w:type="dxa" w:w="4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Vendor coordination, milestone tracking, stakeholder communication, go/no-go decisions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1–58</w:t>
            </w:r>
          </w:p>
        </w:tc>
        <w:tc>
          <w:tcPr>
            <w:tcW w:type="dxa" w:w="4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Assign from internal team. Needs cloud migration experience and authority to escalate.</w:t>
            </w:r>
          </w:p>
        </w:tc>
      </w:tr>
      <w:tr>
        <w:tc>
          <w:tcPr>
            <w:tcW w:type="dxa" w:w="1600"/>
            <w:tcBorders>
              <w:top w:val="single" w:color="CCCCCC" w:sz="1"/>
              <w:left w:val="single" w:color="CCCCCC" w:sz="1"/>
              <w:bottom w:val="single" w:color="CCCCCC" w:sz="1"/>
              <w:right w:val="single" w:color="CCCCCC" w:sz="1"/>
            </w:tcBorders>
            <w:shd w:fill="E4F5EC" w:val="clear"/>
            <w:tcMar>
              <w:top w:type="dxa" w:w="70"/>
              <w:left w:type="dxa" w:w="110"/>
              <w:bottom w:type="dxa" w:w="70"/>
              <w:right w:type="dxa" w:w="110"/>
            </w:tcMar>
            <w:vAlign w:val="top"/>
          </w:tcPr>
          <w:p>
            <w:pPr>
              <w:spacing w:after="0" w:before="0"/>
              <w:jc w:val="center"/>
            </w:pPr>
            <w:r>
              <w:rPr>
                <w:rFonts w:ascii="Arial" w:cs="Arial" w:eastAsia="Arial" w:hAnsi="Arial"/>
                <w:b/>
                <w:bCs/>
                <w:i w:val="false"/>
                <w:iCs w:val="false"/>
                <w:color w:val="1A6B3A"/>
                <w:sz w:val="15"/>
                <w:szCs w:val="15"/>
              </w:rPr>
              <w:t xml:space="preserve">Internal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Legal / Compliance Team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Legal hold review, S3 Object Lock assessment, erasure certificate filing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Days 7–10 + Day 39</w:t>
            </w:r>
          </w:p>
        </w:tc>
        <w:tc>
          <w:tcPr>
            <w:tcW w:type="dxa" w:w="4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444444"/>
                <w:sz w:val="18"/>
                <w:szCs w:val="18"/>
              </w:rPr>
              <w:t xml:space="preserve">Internal legal team lead. Must sign off before HubStor export begins.</w:t>
            </w:r>
          </w:p>
        </w:tc>
      </w:tr>
    </w:tbl>
    <w:p>
      <w:pPr>
        <w:spacing w:after="0" w:before="80"/>
        <w:jc w:val="left"/>
      </w:pPr>
      <w:r>
        <w:rPr>
          <w:rFonts w:ascii="Arial" w:cs="Arial" w:eastAsia="Arial" w:hAnsi="Arial"/>
          <w:b w:val="false"/>
          <w:bCs w:val="false"/>
          <w:i w:val="false"/>
          <w:iCs w:val="false"/>
          <w:color w:val="444444"/>
          <w:sz w:val="18"/>
          <w:szCs w:val="18"/>
        </w:rPr>
        <w:t xml:space="preserve"/>
      </w:r>
    </w:p>
    <w:p>
      <w:pPr>
        <w:spacing w:after="40" w:before="80"/>
        <w:jc w:val="left"/>
      </w:pPr>
      <w:r>
        <w:rPr>
          <w:rFonts w:ascii="Arial" w:cs="Arial" w:eastAsia="Arial" w:hAnsi="Arial"/>
          <w:b w:val="false"/>
          <w:bCs w:val="false"/>
          <w:i/>
          <w:iCs/>
          <w:color w:val="666666"/>
          <w:sz w:val="15"/>
          <w:szCs w:val="15"/>
        </w:rPr>
        <w:t xml:space="preserve">Note: All costs are estimates. Enterprise pricing varies. Staff/internal time is not included in cost totals. Total one-time project cost: ~$3,200–$3,600. Ongoing monthly post-migration: ~$900/month (S3 Standard-IA). Annual saving vs. Azure: ~$9,084.</w:t>
      </w:r>
    </w:p>
    <w:sectPr>
      <w:headerReference w:type="default" r:id="rId9"/>
      <w:pgSz w:w="15840" w:h="12240" w:orient="landscape"/>
      <w:pgMar w:top="580" w:right="720" w:bottom="5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60"/>
      <w:jc w:val="left"/>
    </w:pPr>
    <w:r>
      <w:rPr>
        <w:rFonts w:ascii="Arial" w:cs="Arial" w:eastAsia="Arial" w:hAnsi="Arial"/>
        <w:b/>
        <w:bCs/>
        <w:i w:val="false"/>
        <w:iCs w:val="false"/>
        <w:color w:val="0D3B6E"/>
        <w:sz w:val="24"/>
        <w:szCs w:val="24"/>
      </w:rPr>
      <w:t xml:space="preserve">72TB Cloud Migration — Full Project Resource &amp; Requirements Register</w:t>
    </w:r>
    <w:r>
      <w:rPr>
        <w:rFonts w:ascii="Arial" w:cs="Arial" w:eastAsia="Arial" w:hAnsi="Arial"/>
        <w:b w:val="false"/>
        <w:bCs w:val="false"/>
        <w:i w:val="false"/>
        <w:iCs w:val="false"/>
        <w:color w:val="888888"/>
        <w:sz w:val="17"/>
        <w:szCs w:val="17"/>
      </w:rPr>
      <w:t xml:space="preserve">   |   Azure Blob (West US 2)  →  AWS S3 (us-east-2)  |  April 2026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60"/>
      <w:jc w:val="left"/>
    </w:pPr>
    <w:r>
      <w:rPr>
        <w:rFonts w:ascii="Arial" w:cs="Arial" w:eastAsia="Arial" w:hAnsi="Arial"/>
        <w:b/>
        <w:bCs/>
        <w:i w:val="false"/>
        <w:iCs w:val="false"/>
        <w:color w:val="0D3B6E"/>
        <w:sz w:val="24"/>
        <w:szCs w:val="24"/>
      </w:rPr>
      <w:t xml:space="preserve">72TB Cloud Migration — Full Project Resource &amp; Requirements Register</w:t>
    </w:r>
    <w:r>
      <w:rPr>
        <w:rFonts w:ascii="Arial" w:cs="Arial" w:eastAsia="Arial" w:hAnsi="Arial"/>
        <w:b w:val="false"/>
        <w:bCs w:val="false"/>
        <w:i w:val="false"/>
        <w:iCs w:val="false"/>
        <w:color w:val="888888"/>
        <w:sz w:val="17"/>
        <w:szCs w:val="17"/>
      </w:rPr>
      <w:t xml:space="preserve">   |   Azure Blob (West US 2)  →  AWS S3 (us-east-2)  |  April 2026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8" w:space="4"/>
      </w:pBdr>
      <w:spacing w:after="60"/>
      <w:jc w:val="left"/>
    </w:pPr>
    <w:r>
      <w:rPr>
        <w:rFonts w:ascii="Arial" w:cs="Arial" w:eastAsia="Arial" w:hAnsi="Arial"/>
        <w:b/>
        <w:bCs/>
        <w:i w:val="false"/>
        <w:iCs w:val="false"/>
        <w:color w:val="0D3B6E"/>
        <w:sz w:val="24"/>
        <w:szCs w:val="24"/>
      </w:rPr>
      <w:t xml:space="preserve">72TB Cloud Migration — Full Project Resource &amp; Requirements Register</w:t>
    </w:r>
    <w:r>
      <w:rPr>
        <w:rFonts w:ascii="Arial" w:cs="Arial" w:eastAsia="Arial" w:hAnsi="Arial"/>
        <w:b w:val="false"/>
        <w:bCs w:val="false"/>
        <w:i w:val="false"/>
        <w:iCs w:val="false"/>
        <w:color w:val="888888"/>
        <w:sz w:val="17"/>
        <w:szCs w:val="17"/>
      </w:rPr>
      <w:t xml:space="preserve">   |   Azure Blob (West US 2)  →  AWS S3 (us-east-2)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2026-04-11T16:39:32.955Z</dcterms:created>
  <dcterms:modified xsi:type="dcterms:W3CDTF">2026-04-11T16:39:32.956Z</dcterms:modified>
</cp:coreProperties>
</file>

<file path=docProps/custom.xml><?xml version="1.0" encoding="utf-8"?>
<Properties xmlns="http://schemas.openxmlformats.org/officeDocument/2006/custom-properties" xmlns:vt="http://schemas.openxmlformats.org/officeDocument/2006/docPropsVTypes"/>
</file>