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/>
      </w:pPr>
      <w:r>
        <w:rPr>
          <w:sz w:val="48"/>
          <w:szCs w:val="48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400"/>
              <w:left w:type="dxa" w:w="480"/>
              <w:bottom w:type="dxa" w:w="400"/>
              <w:right w:type="dxa" w:w="4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CMDB Owner Initiative</w:t>
            </w:r>
          </w:p>
          <w:p>
            <w:pPr>
              <w:spacing w:after="200" w:before="0"/>
              <w:jc w:val="left"/>
            </w:pPr>
            <w:r>
              <w:rPr>
                <w:rFonts w:ascii="Arial" w:cs="Arial" w:eastAsia="Arial" w:hAnsi="Arial"/>
                <w:color w:val="9FE1CB"/>
                <w:sz w:val="28"/>
                <w:szCs w:val="28"/>
              </w:rPr>
              <w:t xml:space="preserve">Cloud Cost Optimisation through Ownership &amp; Accountability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B5D4F4"/>
                <w:sz w:val="20"/>
                <w:szCs w:val="20"/>
              </w:rPr>
              <w:t xml:space="preserve">Version 1.0  |  April 2026  |  Confidential</w:t>
            </w:r>
          </w:p>
        </w:tc>
      </w:tr>
    </w:tbl>
    <w:p>
      <w:pPr>
        <w:spacing w:after="0" w:before="3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Executive Summary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This initiative establishes a direct link between Configuration Management Database (CMDB) owner data and cloud cost optimisation across both Microsoft Azure and Amazon Web Services. The core premise is straightforward: cloud waste persists not because it is invisible, but because no one accountable receives the signal to act on it. By ensuring every cloud resource has a named, verified owner recorded in the CMDB, we create the communication infrastructure needed to drive fast, targeted decisions on rightsizing, orphan cleanup, and broader cloud resource optimisation.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Industry benchmarks consistently indicate that 30-40% of cloud spend is recoverable without impacting workloads. The three primary areas of saving targeted by this initiative are: VM and EC2 rightsizing, elimination of orphaned resources (unattached storage, idle disks, unused snapshots, and stranded load balancers), and broader optimisation including Reserved Instance commitments, Savings Plans, and environment scheduling.</w:t>
      </w:r>
    </w:p>
    <w:p>
      <w:pPr>
        <w:spacing w:after="0" w:before="80"/>
      </w:pPr>
    </w:p>
    <w:p>
      <w:pPr>
        <w:pBdr>
          <w:bottom w:val="single" w:color="FFFFFF" w:sz="4"/>
        </w:pBdr>
        <w:shd w:fill="0F6E56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How CMDB Ownership Drives Cost Savings</w:t>
      </w:r>
    </w:p>
    <w:p>
      <w:pPr>
        <w:spacing w:after="0" w:before="80"/>
      </w:pPr>
    </w:p>
    <w:p>
      <w:pPr>
        <w:spacing w:after="80" w:before="6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connection between CMDB owner data and realised cloud savings operates through several reinforcing mechanisms. Without a named owner in the CMDB, a rightsizing recommendation has nowhere to go. It either routes to a generic team inbox and is deprioritised, or it goes unactioned entirely because no individual feels accountability for the resource. With a confirmed owner, the same alert becomes a personal action item tied to a specific cost centre, escalation path, and resolution SLA.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thick" w:color="1F4E79" w:sz="12"/>
              <w:bottom w:val="single" w:color="1F4E79" w:sz="6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Key insight: CMDB ownership does not create new savings opportunities — those already exist in every cloud estate. It creates the communication and accountability layer that converts identified waste into approved action, faster and at scale.</w:t>
            </w:r>
          </w:p>
        </w:tc>
      </w:tr>
    </w:tbl>
    <w:p>
      <w:pPr>
        <w:spacing w:after="0" w:before="80"/>
      </w:pPr>
    </w:p>
    <w:p>
      <w:pPr>
        <w:spacing w:after="80" w:before="6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table below maps each CMDB capability to the specific mechanism it enables and the cost area it unlocks: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CMDB capability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How it drives action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Cost saving area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Named owner per CI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Rightsizing alerts route to accountable individual, not generic inbox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VM / EC2 rightsizing — faster approval cycle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Owner-to-cost-centre mapping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Chargeback attributed directly; overspend visible to budget holder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Reduced over-provisioning; owners motivated to right-size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Resource-to-CI linkage (Azure &amp; AWS)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Automated orphan detection cross-referenced to active CIs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Orphan cleanup: unattached disks, snapshots, idle load balancers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Owner-chain escalation path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Non-responders escalated to manager within defined SLA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Eliminates alert fatigue and blocked remediation tickets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HR sync keeps owners current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Alerts never bounce to leavers; action always reaches a live owner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Prevents waste accumulating when staff change roles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Provisioning gate enforces owner assignment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No resource can be created without a valid CMDB owner 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Prevents new orphan resources from being created at source</w:t>
            </w:r>
          </w:p>
        </w:tc>
      </w:tr>
    </w:tbl>
    <w:p>
      <w:pPr>
        <w:spacing w:after="0" w:before="120"/>
      </w:pPr>
    </w:p>
    <w:p>
      <w:pPr>
        <w:spacing w:after="80" w:before="6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compounding effect is significant. When owners are accountable through chargeback, when provisioning gates prevent new orphans being created, and when escalation chains ensure alerts always reach a live human, the organisation shifts from reactive fire-fighting to proactive cost governance. Each saved dollar is also a faster decision — owners who see their team's spend in real-time approve rightsizing proposals in days rather than weeks.</w:t>
      </w:r>
    </w:p>
    <w:p>
      <w:pPr>
        <w:spacing w:after="0" w:before="160"/>
      </w:pPr>
    </w:p>
    <w:p>
      <w:pPr>
        <w:pBdr>
          <w:bottom w:val="single" w:color="FFFFFF" w:sz="4"/>
        </w:pBdr>
        <w:shd w:fill="1F4E79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Section 1 — Key Assumptions</w:t>
      </w:r>
    </w:p>
    <w:p>
      <w:pPr>
        <w:spacing w:after="0" w:before="80"/>
      </w:pPr>
    </w:p>
    <w:p>
      <w:pPr>
        <w:spacing w:after="80" w:before="6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following assumptions underpin the business case and delivery plan for this initiative. They should be validated with stakeholders during the discovery phase.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80"/>
        </w:tblCellMar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100"/>
              <w:right w:type="dxa" w:w="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CMDB data is currently incomplete or stale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Existing CMDB entries lack verified owner assignments, business unit mapping, and cloud resource linkage — making automated alerting and chargeback unreliable today. A data quality baseline exercise is required before automation can begin.</w:t>
            </w:r>
          </w:p>
          <w:p>
            <w:pPr>
              <w:shd w:fill="D6E4F0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  Data quality  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80"/>
        </w:tblCellMar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100"/>
              <w:right w:type="dxa" w:w="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Owner accountability drives action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When a named owner receives a rightsizing or orphan alert, remediation happens significantly faster than when alerts route to a generic team inbox or go unassigned. Behavioural evidence from similar initiatives confirms this pattern.</w:t>
            </w:r>
          </w:p>
          <w:p>
            <w:pPr>
              <w:shd w:fill="D6E4F0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  Behaviour  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80"/>
        </w:tblCellMar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100"/>
              <w:right w:type="dxa" w:w="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Significant waste already exists in the cloud estate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VMs, EC2s, and attached storage are assumed to be over-provisioned or idle at a material rate. Industry benchmarks suggest 30-40% of cloud spend is reclaimable without affecting workloads.</w:t>
            </w:r>
          </w:p>
          <w:p>
            <w:pPr>
              <w:shd w:fill="D6E4F0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  Financial  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80"/>
        </w:tblCellMar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100"/>
              <w:right w:type="dxa" w:w="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Azure and AWS tagging can be mapped to CMDB CIs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Cloud resource tags (or discoverable metadata) are sufficiently consistent across accounts and subscriptions to allow automated linking of cloud assets to CMDB configuration items.</w:t>
            </w:r>
          </w:p>
          <w:p>
            <w:pPr>
              <w:shd w:fill="D6E4F0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  Technical  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80"/>
        </w:tblCellMar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5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100"/>
              <w:right w:type="dxa" w:w="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Leadership will mandate owner registration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Business and IT leadership will enforce a policy requiring all cloud resources to have a valid CMDB owner before provisioning is approved or resources can remain running. Without this mandate, adoption will be insufficient.</w:t>
            </w:r>
          </w:p>
          <w:p>
            <w:pPr>
              <w:shd w:fill="D6E4F0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  Governance  </w:t>
            </w:r>
          </w:p>
        </w:tc>
      </w:tr>
    </w:tbl>
    <w:p>
      <w:pPr>
        <w:spacing w:after="0" w:before="200"/>
      </w:pPr>
    </w:p>
    <w:p>
      <w:pPr>
        <w:pBdr>
          <w:bottom w:val="single" w:color="FFFFFF" w:sz="4"/>
        </w:pBdr>
        <w:shd w:fill="7B4F00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Section 2 — Top Risks</w:t>
      </w:r>
    </w:p>
    <w:p>
      <w:pPr>
        <w:spacing w:after="0" w:before="80"/>
      </w:pPr>
    </w:p>
    <w:p>
      <w:pPr>
        <w:spacing w:after="80" w:before="6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following risks have been identified as the most likely to delay or reduce the value delivered by this initiative. Each should be assigned an owner and a mitigation action during programme planning.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80"/>
        </w:tblCellMar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100"/>
              <w:right w:type="dxa" w:w="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Incorrect owner data leads to wrong decommissions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If a resource is incorrectly tagged as orphaned and deleted, it may cause a production outage. Data validation and a mandatory quarantine period before deletion are critical controls. Risk rating: High.</w:t>
            </w:r>
          </w:p>
          <w:p>
            <w:pPr>
              <w:shd w:fill="FDECEA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  High  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80"/>
        </w:tblCellMar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100"/>
              <w:right w:type="dxa" w:w="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Low adoption — teams do not update CMDB records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Without enforcement mechanisms such as provisioning gates or chargeback to cost centres, teams will deprioritise CMDB hygiene and the initiative will stall within months of launch. Risk rating: High.</w:t>
            </w:r>
          </w:p>
          <w:p>
            <w:pPr>
              <w:shd w:fill="FDECEA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  High  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80"/>
        </w:tblCellMar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100"/>
              <w:right w:type="dxa" w:w="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Cloud tagging is inconsistent across accounts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Legacy accounts, shadow IT subscriptions, and non-standard naming conventions may prevent automated CMDB-to-cloud linkage, requiring significant manual remediation effort. Risk rating: Medium.</w:t>
            </w:r>
          </w:p>
          <w:p>
            <w:pPr>
              <w:shd w:fill="FFF3CD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  Medium  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80"/>
        </w:tblCellMar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100"/>
              <w:right w:type="dxa" w:w="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Savings projections do not materialise at expected scale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Resource owners may resist rightsizing due to perceived performance risk, or recommendations may not account for peak workloads — requiring a longer runway to realise savings. Risk rating: Medium.</w:t>
            </w:r>
          </w:p>
          <w:p>
            <w:pPr>
              <w:shd w:fill="FFF3CD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  Medium  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80"/>
        </w:tblCellMar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22"/>
                <w:szCs w:val="22"/>
              </w:rPr>
              <w:t xml:space="preserve">5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100"/>
              <w:right w:type="dxa" w:w="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Organisational change fatigue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Teams managing cloud infrastructure are often already under pressure. Adding CMDB ownership responsibilities without adequate tooling or headcount support creates resistance and burnout risk. Risk rating: Medium.</w:t>
            </w:r>
          </w:p>
          <w:p>
            <w:pPr>
              <w:shd w:fill="FFF3CD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  Medium  </w:t>
            </w:r>
          </w:p>
        </w:tc>
      </w:tr>
    </w:tbl>
    <w:p>
      <w:pPr>
        <w:spacing w:after="0" w:before="200"/>
      </w:pPr>
    </w:p>
    <w:p>
      <w:pPr>
        <w:pBdr>
          <w:bottom w:val="single" w:color="FFFFFF" w:sz="4"/>
        </w:pBdr>
        <w:shd w:fill="0F6E56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Section 3 — Money Steps</w:t>
      </w:r>
    </w:p>
    <w:p>
      <w:pPr>
        <w:spacing w:after="0" w:before="80"/>
      </w:pPr>
    </w:p>
    <w:p>
      <w:pPr>
        <w:spacing w:after="80" w:before="6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following steps are sequenced to deliver early, visible savings while building the infrastructure for sustained optimisation. Orphan cleanup is placed before VM rightsizing intentionally — deleting a resource no one owns is a far easier organisational conversation than asking a team to accept a smaller VM, and early wins build stakeholder confidence in the programme.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80"/>
        </w:tblCellMar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D4EDE6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1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100"/>
              <w:right w:type="dxa" w:w="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Establish baseline cloud spend visibility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Export cost and usage data from AWS Cost Explorer and Azure Cost Management. Tag spend by resource, account, and subscription. Identify the top 20% of resources driving 80% of spend. This baseline becomes the measure against which all savings are tracked.</w:t>
            </w:r>
          </w:p>
          <w:p>
            <w:pPr>
              <w:shd w:fill="D4EDE6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  Foundation  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80"/>
        </w:tblCellMar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D4EDE6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2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100"/>
              <w:right w:type="dxa" w:w="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Link cloud resources to CMDB CIs and owners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Use automated discovery tools such as ServiceNow Discovery, AWS Config, and Azure Resource Graph to populate the CMDB with cloud assets. Assign a confirmed owner and cost centre to every CI above a defined spend threshold.</w:t>
            </w:r>
          </w:p>
          <w:p>
            <w:pPr>
              <w:shd w:fill="D4EDE6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  Enablement  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80"/>
        </w:tblCellMar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D4EDE6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3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100"/>
              <w:right w:type="dxa" w:w="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Identify and remediate orphaned resources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Flag unattached disks, unused snapshots, idle load balancers, and unassociated IP addresses. Route alerts to CMDB owners. Apply a 14-day quarantine before deletion. Target: 100% of identified orphans resolved within 90 days of programme launch.</w:t>
            </w:r>
          </w:p>
          <w:p>
            <w:pPr>
              <w:shd w:fill="D4EDE6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  Quick win — $$$  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80"/>
        </w:tblCellMar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D4EDE6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4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100"/>
              <w:right w:type="dxa" w:w="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Execute VM and EC2 rightsizing programme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Pull rightsizing recommendations from AWS Compute Optimizer and Azure Advisor. Owners review and approve within 30 days. Track commitment and actual savings per CI. Escalate non-responders to their manager via the CMDB owner chain.</w:t>
            </w:r>
          </w:p>
          <w:p>
            <w:pPr>
              <w:shd w:fill="D4EDE6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  Major savings — $$$$  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80"/>
        </w:tblCellMar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D4EDE6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5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100"/>
              <w:right w:type="dxa" w:w="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Continuous optimisation — reservations, savings plans, and scheduling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With owners confirmed via CMDB, negotiate Reserved Instances and Savings Plans for stable workloads. Apply auto-shutdown schedules for development and test environments. Review monthly and report savings back to cost centre owners.</w:t>
            </w:r>
          </w:p>
          <w:p>
            <w:pPr>
              <w:shd w:fill="D4EDE6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  Sustained savings  </w:t>
            </w:r>
          </w:p>
        </w:tc>
      </w:tr>
    </w:tbl>
    <w:p>
      <w:pPr>
        <w:spacing w:after="0" w:before="200"/>
      </w:pPr>
    </w:p>
    <w:p>
      <w:pPr>
        <w:pBdr>
          <w:bottom w:val="single" w:color="FFFFFF" w:sz="4"/>
        </w:pBdr>
        <w:shd w:fill="3C3489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Section 4 — Interdependencies</w:t>
      </w:r>
    </w:p>
    <w:p>
      <w:pPr>
        <w:spacing w:after="0" w:before="80"/>
      </w:pPr>
    </w:p>
    <w:p>
      <w:pPr>
        <w:spacing w:after="80" w:before="6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This initiative cannot be delivered in isolation. The following teams, tools, and programmes must be engaged, aligned, or unblocked before and during execution. Two interdependencies are classified as blockers — the initiative cannot proceed past the data population phase without them.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C3489"/>
                <w:sz w:val="21"/>
                <w:szCs w:val="21"/>
              </w:rPr>
              <w:t xml:space="preserve">Cloud platform teams (AWS &amp; Azure)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Must enable tagging policies, share cost export data, and implement provisioning gates that enforce CMDB owner assignment before resource creation.</w:t>
            </w:r>
          </w:p>
          <w:p>
            <w:pPr>
              <w:shd w:fill="EEEDFE" w:val="clear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  Blocker  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C3489"/>
                <w:sz w:val="21"/>
                <w:szCs w:val="21"/>
              </w:rPr>
              <w:t xml:space="preserve">ITSM / CMDB platform (e.g., ServiceNow)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Must support automated CI discovery, owner fields, and integration APIs. Data model changes may require platform team capacity and release windows.</w:t>
            </w:r>
          </w:p>
          <w:p>
            <w:pPr>
              <w:shd w:fill="EEEDFE" w:val="clear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  Blocker  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C3489"/>
                <w:sz w:val="21"/>
                <w:szCs w:val="21"/>
              </w:rPr>
              <w:t xml:space="preserve">Finance and FinOps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Chargeback and showback reporting must align to CMDB cost centre fields. Finance approval is needed to convert savings projections into confirmed budget recapture.</w:t>
            </w:r>
          </w:p>
          <w:p>
            <w:pPr>
              <w:shd w:fill="EEEDFE" w:val="clear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  Critical  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C3489"/>
                <w:sz w:val="21"/>
                <w:szCs w:val="21"/>
              </w:rPr>
              <w:t xml:space="preserve">Application and product owners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Must confirm ownership of assigned CIs, validate rightsizing proposals, and respond to orphan alerts. Without engagement here, the initiative stalls at data population.</w:t>
            </w:r>
          </w:p>
          <w:p>
            <w:pPr>
              <w:shd w:fill="EEEDFE" w:val="clear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  Critical  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C3489"/>
                <w:sz w:val="21"/>
                <w:szCs w:val="21"/>
              </w:rPr>
              <w:t xml:space="preserve">Security and compliance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Decommissioning workflows must be reviewed to ensure data retention obligations are met before storage deletion. Owner identity data may require data governance review.</w:t>
            </w:r>
          </w:p>
          <w:p>
            <w:pPr>
              <w:shd w:fill="EEEDFE" w:val="clear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  Dependency  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C3489"/>
                <w:sz w:val="21"/>
                <w:szCs w:val="21"/>
              </w:rPr>
              <w:t xml:space="preserve">HR and org data systems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An automated sync between HR systems and CMDB owner fields is needed to keep records current as staff change roles, preventing stale contacts blocking action.</w:t>
            </w:r>
          </w:p>
          <w:p>
            <w:pPr>
              <w:shd w:fill="EEEDFE" w:val="clear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  Dependency  </w:t>
            </w:r>
          </w:p>
        </w:tc>
      </w:tr>
    </w:tbl>
    <w:p>
      <w:pPr>
        <w:spacing w:after="0" w:before="200"/>
      </w:pPr>
    </w:p>
    <w:p>
      <w:pPr>
        <w:pBdr>
          <w:top w:val="single" w:color="CCCCCC" w:sz="4" w:space="1"/>
        </w:pBdr>
        <w:spacing w:after="120" w:before="200"/>
      </w:pP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888780"/>
          <w:sz w:val="19"/>
          <w:szCs w:val="19"/>
        </w:rPr>
        <w:t xml:space="preserve">This document is intended as a working framework. All assumptions, risk ratings, and savings projections should be reviewed and validated with stakeholders prior to programme initiation.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780"/>
        <w:sz w:val="18"/>
        <w:szCs w:val="18"/>
      </w:rPr>
      <w:t xml:space="preserve">Confidential — Internal Use Only     |     Page </w:t>
    </w:r>
    <w:r>
      <w:rPr>
        <w:rFonts w:ascii="Arial" w:cs="Arial" w:eastAsia="Arial" w:hAnsi="Arial"/>
        <w:color w:val="8887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spacing w:after="0"/>
    </w:pPr>
    <w:r>
      <w:rPr>
        <w:rFonts w:ascii="Arial" w:cs="Arial" w:eastAsia="Arial" w:hAnsi="Arial"/>
        <w:color w:val="888780"/>
        <w:sz w:val="18"/>
        <w:szCs w:val="18"/>
      </w:rPr>
      <w:t xml:space="preserve">CMDB Owner Initiative  |  Cloud Cost Optimisation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2026-04-08T16:58:15.303Z</dcterms:created>
  <dcterms:modified xsi:type="dcterms:W3CDTF">2026-04-08T16:58:15.304Z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