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p14">
  <w:body>
    <w:p>
      <w:pPr>
        <w:spacing w:before="60" w:after="60"/>
      </w:pPr>
      <w:r>
        <w:rPr>
          <w:rFonts w:ascii="Arial" w:hAnsi="Arial"/>
          <w:sz w:val="20"/>
        </w:rPr>
        <w:t xml:space="preserve">---</w:t>
      </w:r>
    </w:p>
    <w:tbl>
      <w:tblPr>
        <w:tblW w:type="dxa" w:w="936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tcPr>
          <w:p>
            <w:pPr>
              <w:spacing w:before="40" w:after="40"/>
            </w:pPr>
            <w:r>
              <w:rPr>
                <w:rFonts w:ascii="Arial" w:hAnsi="Arial"/>
                <w:b/>
                <w:sz w:val="18"/>
              </w:rPr>
              <w:t xml:space="preserve">Field</w:t>
            </w:r>
          </w:p>
        </w:tc>
        <w:tc>
          <w:tcPr>
            <w:tcW w:type="dxa" w:w="4680"/>
          </w:tcPr>
          <w:p>
            <w:pPr>
              <w:spacing w:before="40" w:after="40"/>
            </w:pPr>
            <w:r>
              <w:rPr>
                <w:rFonts w:ascii="Arial" w:hAnsi="Arial"/>
                <w:b/>
                <w:sz w:val="18"/>
              </w:rPr>
              <w:t xml:space="preserve">Value</w:t>
            </w:r>
          </w:p>
        </w:tc>
      </w:tr>
      <w:tr>
        <w:tc>
          <w:tcPr>
            <w:tcW w:type="dxa" w:w="4680"/>
          </w:tcPr>
          <w:p>
            <w:pPr>
              <w:spacing w:before="40" w:after="40"/>
            </w:pPr>
            <w:r>
              <w:rPr>
                <w:rFonts w:ascii="Arial" w:hAnsi="Arial"/>
                <w:sz w:val="18"/>
              </w:rPr>
              <w:t xml:space="preserve">Title</w:t>
            </w:r>
          </w:p>
        </w:tc>
        <w:tc>
          <w:tcPr>
            <w:tcW w:type="dxa" w:w="4680"/>
          </w:tcPr>
          <w:p>
            <w:pPr>
              <w:spacing w:before="40" w:after="40"/>
            </w:pPr>
            <w:r>
              <w:rPr>
                <w:rFonts w:ascii="Arial" w:hAnsi="Arial"/>
                <w:sz w:val="18"/>
              </w:rPr>
              <w:t xml:space="preserve">Standard Operating Procedure for Responsible AI Use in Global Technology</w:t>
            </w:r>
          </w:p>
        </w:tc>
      </w:tr>
      <w:tr>
        <w:tc>
          <w:tcPr>
            <w:tcW w:type="dxa" w:w="4680"/>
          </w:tcPr>
          <w:p>
            <w:pPr>
              <w:spacing w:before="40" w:after="40"/>
            </w:pPr>
            <w:r>
              <w:rPr>
                <w:rFonts w:ascii="Arial" w:hAnsi="Arial"/>
                <w:sz w:val="18"/>
              </w:rPr>
              <w:t xml:space="preserve">Document ID</w:t>
            </w:r>
          </w:p>
        </w:tc>
        <w:tc>
          <w:tcPr>
            <w:tcW w:type="dxa" w:w="4680"/>
          </w:tcPr>
          <w:p>
            <w:pPr>
              <w:spacing w:before="40" w:after="40"/>
            </w:pPr>
            <w:r>
              <w:rPr>
                <w:rFonts w:ascii="Arial" w:hAnsi="Arial"/>
                <w:sz w:val="18"/>
              </w:rPr>
              <w:t xml:space="preserve">SOP-20260416-1058</w:t>
            </w:r>
          </w:p>
        </w:tc>
      </w:tr>
      <w:tr>
        <w:tc>
          <w:tcPr>
            <w:tcW w:type="dxa" w:w="4680"/>
          </w:tcPr>
          <w:p>
            <w:pPr>
              <w:spacing w:before="40" w:after="40"/>
            </w:pPr>
            <w:r>
              <w:rPr>
                <w:rFonts w:ascii="Arial" w:hAnsi="Arial"/>
                <w:sz w:val="18"/>
              </w:rPr>
              <w:t xml:space="preserve">Version</w:t>
            </w:r>
          </w:p>
        </w:tc>
        <w:tc>
          <w:tcPr>
            <w:tcW w:type="dxa" w:w="4680"/>
          </w:tcPr>
          <w:p>
            <w:pPr>
              <w:spacing w:before="40" w:after="40"/>
            </w:pPr>
            <w:r>
              <w:rPr>
                <w:rFonts w:ascii="Arial" w:hAnsi="Arial"/>
                <w:sz w:val="18"/>
              </w:rPr>
              <w:t xml:space="preserve">1.0</w:t>
            </w:r>
          </w:p>
        </w:tc>
      </w:tr>
      <w:tr>
        <w:tc>
          <w:tcPr>
            <w:tcW w:type="dxa" w:w="4680"/>
          </w:tcPr>
          <w:p>
            <w:pPr>
              <w:spacing w:before="40" w:after="40"/>
            </w:pPr>
            <w:r>
              <w:rPr>
                <w:rFonts w:ascii="Arial" w:hAnsi="Arial"/>
                <w:sz w:val="18"/>
              </w:rPr>
              <w:t xml:space="preserve">Status</w:t>
            </w:r>
          </w:p>
        </w:tc>
        <w:tc>
          <w:tcPr>
            <w:tcW w:type="dxa" w:w="4680"/>
          </w:tcPr>
          <w:p>
            <w:pPr>
              <w:spacing w:before="40" w:after="40"/>
            </w:pPr>
            <w:r>
              <w:rPr>
                <w:rFonts w:ascii="Arial" w:hAnsi="Arial"/>
                <w:sz w:val="18"/>
              </w:rPr>
              <w:t xml:space="preserve">CURRENT</w:t>
            </w:r>
          </w:p>
        </w:tc>
      </w:tr>
      <w:tr>
        <w:tc>
          <w:tcPr>
            <w:tcW w:type="dxa" w:w="4680"/>
          </w:tcPr>
          <w:p>
            <w:pPr>
              <w:spacing w:before="40" w:after="40"/>
            </w:pPr>
            <w:r>
              <w:rPr>
                <w:rFonts w:ascii="Arial" w:hAnsi="Arial"/>
                <w:sz w:val="18"/>
              </w:rPr>
              <w:t xml:space="preserve">Effective Date</w:t>
            </w:r>
          </w:p>
        </w:tc>
        <w:tc>
          <w:tcPr>
            <w:tcW w:type="dxa" w:w="4680"/>
          </w:tcPr>
          <w:p>
            <w:pPr>
              <w:spacing w:before="40" w:after="40"/>
            </w:pPr>
            <w:r>
              <w:rPr>
                <w:rFonts w:ascii="Arial" w:hAnsi="Arial"/>
                <w:sz w:val="18"/>
              </w:rPr>
              <w:t xml:space="preserve">16-Apr-2026</w:t>
            </w:r>
          </w:p>
        </w:tc>
      </w:tr>
      <w:tr>
        <w:tc>
          <w:tcPr>
            <w:tcW w:type="dxa" w:w="4680"/>
          </w:tcPr>
          <w:p>
            <w:pPr>
              <w:spacing w:before="40" w:after="40"/>
            </w:pPr>
            <w:r>
              <w:rPr>
                <w:rFonts w:ascii="Arial" w:hAnsi="Arial"/>
                <w:sz w:val="18"/>
              </w:rPr>
              <w:t xml:space="preserve">Classification</w:t>
            </w:r>
          </w:p>
        </w:tc>
        <w:tc>
          <w:tcPr>
            <w:tcW w:type="dxa" w:w="4680"/>
          </w:tcPr>
          <w:p>
            <w:pPr>
              <w:spacing w:before="40" w:after="40"/>
            </w:pPr>
            <w:r>
              <w:rPr>
                <w:rFonts w:ascii="Arial" w:hAnsi="Arial"/>
                <w:sz w:val="18"/>
              </w:rPr>
              <w:t xml:space="preserve">INTERNAL</w:t>
            </w:r>
          </w:p>
        </w:tc>
      </w:tr>
      <w:tr>
        <w:tc>
          <w:tcPr>
            <w:tcW w:type="dxa" w:w="4680"/>
          </w:tcPr>
          <w:p>
            <w:pPr>
              <w:spacing w:before="40" w:after="40"/>
            </w:pPr>
            <w:r>
              <w:rPr>
                <w:rFonts w:ascii="Arial" w:hAnsi="Arial"/>
                <w:sz w:val="18"/>
              </w:rPr>
              <w:t xml:space="preserve">Industry</w:t>
            </w:r>
          </w:p>
        </w:tc>
        <w:tc>
          <w:tcPr>
            <w:tcW w:type="dxa" w:w="4680"/>
          </w:tcPr>
          <w:p>
            <w:pPr>
              <w:spacing w:before="40" w:after="40"/>
            </w:pPr>
            <w:r>
              <w:rPr>
                <w:rFonts w:ascii="Arial" w:hAnsi="Arial"/>
                <w:sz w:val="18"/>
              </w:rPr>
              <w:t xml:space="preserve">Life Sciences and Regulated IT (GxP-Aligned)</w:t>
            </w:r>
          </w:p>
        </w:tc>
      </w:tr>
      <w:tr>
        <w:tc>
          <w:tcPr>
            <w:tcW w:type="dxa" w:w="4680"/>
          </w:tcPr>
          <w:p>
            <w:pPr>
              <w:spacing w:before="40" w:after="40"/>
            </w:pPr>
            <w:r>
              <w:rPr>
                <w:rFonts w:ascii="Arial" w:hAnsi="Arial"/>
                <w:sz w:val="18"/>
              </w:rPr>
              <w:t xml:space="preserve">Target Audience</w:t>
            </w:r>
          </w:p>
        </w:tc>
        <w:tc>
          <w:tcPr>
            <w:tcW w:type="dxa" w:w="4680"/>
          </w:tcPr>
          <w:p>
            <w:pPr>
              <w:spacing w:before="40" w:after="40"/>
            </w:pPr>
            <w:r>
              <w:rPr>
                <w:rFonts w:ascii="Arial" w:hAnsi="Arial"/>
                <w:sz w:val="18"/>
              </w:rPr>
              <w:t xml:space="preserve">Global Technology Teams, AI Developers, Cloud Engineers, System Administrators, and Risk/Compliance Stakeholders</w:t>
            </w:r>
          </w:p>
        </w:tc>
      </w:tr>
    </w:tbl>
    <w:p>
      <w:pPr>
        <w:spacing w:before="60" w:after="60"/>
      </w:pPr>
      <w:r>
        <w:rPr>
          <w:rFonts w:ascii="Arial" w:hAnsi="Arial"/>
          <w:sz w:val="20"/>
        </w:rPr>
        <w:t xml:space="preserve">CURRENT — INTERNAL</w:t>
      </w:r>
    </w:p>
    <w:p>
      <w:pPr>
        <w:spacing w:before="60" w:after="60"/>
      </w:pPr>
      <w:r>
        <w:rPr>
          <w:rFonts w:ascii="Arial" w:hAnsi="Arial"/>
          <w:sz w:val="20"/>
        </w:rPr>
        <w:t xml:space="preserve">This document is subject to controlled document management.</w:t>
      </w:r>
    </w:p>
    <w:p>
      <w:pPr>
        <w:spacing w:before="60" w:after="60"/>
      </w:pPr>
      <w:r>
        <w:rPr>
          <w:rFonts w:ascii="Arial" w:hAnsi="Arial"/>
          <w:sz w:val="20"/>
        </w:rPr>
        <w:t xml:space="preserve">Approval signatures (wet or electronic per 21 CFR Part 11) are required</w:t>
      </w:r>
    </w:p>
    <w:p>
      <w:pPr>
        <w:spacing w:before="60" w:after="60"/>
      </w:pPr>
      <w:r>
        <w:rPr>
          <w:rFonts w:ascii="Arial" w:hAnsi="Arial"/>
          <w:sz w:val="20"/>
        </w:rPr>
        <w:t xml:space="preserve">before this SOP is placed into operational use.</w:t>
      </w:r>
    </w:p>
    <w:p>
      <w:pPr>
        <w:spacing w:before="60" w:after="60"/>
      </w:pPr>
      <w:r>
        <w:rPr>
          <w:rFonts w:ascii="Arial" w:hAnsi="Arial"/>
          <w:sz w:val="20"/>
        </w:rPr>
        <w:t xml:space="preserve">Always verify you are reading the current approved version before use.</w:t>
      </w:r>
    </w:p>
    <w:p>
      <w:pPr>
        <w:spacing w:before="60" w:after="60"/>
      </w:pPr>
      <w:r>
        <w:rPr>
          <w:rFonts w:ascii="Arial" w:hAnsi="Arial"/>
          <w:sz w:val="20"/>
        </w:rPr>
        <w:t xml:space="preserve">---</w:t>
      </w:r>
    </w:p>
    <w:p>
      <w:pPr>
        <w:pStyle w:val="Heading2"/>
        <w:spacing w:before="120" w:after="60"/>
      </w:pPr>
      <w:r>
        <w:rPr>
          <w:rFonts w:ascii="Arial" w:hAnsi="Arial"/>
          <w:b/>
          <w:sz w:val="28"/>
        </w:rPr>
        <w:t>Document Approval</w:t>
      </w:r>
    </w:p>
    <w:tbl>
      <w:tblPr>
        <w:tblW w:type="dxa" w:w="936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340"/>
          </w:tcPr>
          <w:p>
            <w:pPr>
              <w:spacing w:before="40" w:after="40"/>
            </w:pPr>
            <w:r>
              <w:rPr>
                <w:rFonts w:ascii="Arial" w:hAnsi="Arial"/>
                <w:b/>
                <w:sz w:val="18"/>
              </w:rPr>
              <w:t xml:space="preserve">Role</w:t>
            </w:r>
          </w:p>
        </w:tc>
        <w:tc>
          <w:tcPr>
            <w:tcW w:type="dxa" w:w="2340"/>
          </w:tcPr>
          <w:p>
            <w:pPr>
              <w:spacing w:before="40" w:after="40"/>
            </w:pPr>
            <w:r>
              <w:rPr>
                <w:rFonts w:ascii="Arial" w:hAnsi="Arial"/>
                <w:b/>
                <w:sz w:val="18"/>
              </w:rPr>
              <w:t xml:space="preserve">Name</w:t>
            </w:r>
          </w:p>
        </w:tc>
        <w:tc>
          <w:tcPr>
            <w:tcW w:type="dxa" w:w="2340"/>
          </w:tcPr>
          <w:p>
            <w:pPr>
              <w:spacing w:before="40" w:after="40"/>
            </w:pPr>
            <w:r>
              <w:rPr>
                <w:rFonts w:ascii="Arial" w:hAnsi="Arial"/>
                <w:b/>
                <w:sz w:val="18"/>
              </w:rPr>
              <w:t xml:space="preserve">Signature</w:t>
            </w:r>
          </w:p>
        </w:tc>
        <w:tc>
          <w:tcPr>
            <w:tcW w:type="dxa" w:w="2340"/>
          </w:tcPr>
          <w:p>
            <w:pPr>
              <w:spacing w:before="40" w:after="40"/>
            </w:pPr>
            <w:r>
              <w:rPr>
                <w:rFonts w:ascii="Arial" w:hAnsi="Arial"/>
                <w:b/>
                <w:sz w:val="18"/>
              </w:rPr>
              <w:t xml:space="preserve">Date</w:t>
            </w:r>
          </w:p>
        </w:tc>
      </w:tr>
      <w:tr>
        <w:tc>
          <w:tcPr>
            <w:tcW w:type="dxa" w:w="2340"/>
          </w:tcPr>
          <w:p>
            <w:pPr>
              <w:spacing w:before="40" w:after="40"/>
            </w:pPr>
            <w:r>
              <w:rPr>
                <w:rFonts w:ascii="Arial" w:hAnsi="Arial"/>
                <w:sz w:val="18"/>
              </w:rPr>
              <w:t xml:space="preserve">Author</w:t>
            </w:r>
          </w:p>
        </w:tc>
        <w:tc>
          <w:tcPr>
            <w:tcW w:type="dxa" w:w="2340"/>
          </w:tcPr>
          <w:p>
            <w:pPr>
              <w:spacing w:before="40" w:after="40"/>
            </w:pPr>
            <w:r>
              <w:rPr>
                <w:rFonts w:ascii="Arial" w:hAnsi="Arial"/>
                <w:sz w:val="18"/>
              </w:rPr>
              <w:t xml:space="preserve">TBD</w:t>
            </w:r>
          </w:p>
        </w:tc>
        <w:tc>
          <w:tcPr>
            <w:tcW w:type="dxa" w:w="2340"/>
          </w:tcPr>
          <w:p>
            <w:pPr>
              <w:spacing w:before="40" w:after="40"/>
            </w:pPr>
            <w:r>
              <w:rPr>
                <w:rFonts w:ascii="Arial" w:hAnsi="Arial"/>
                <w:sz w:val="18"/>
              </w:rPr>
              <w:t xml:space="preserve"/>
            </w:r>
          </w:p>
        </w:tc>
        <w:tc>
          <w:tcPr>
            <w:tcW w:type="dxa" w:w="2340"/>
          </w:tcPr>
          <w:p>
            <w:pPr>
              <w:spacing w:before="40" w:after="40"/>
            </w:pPr>
            <w:r>
              <w:rPr>
                <w:rFonts w:ascii="Arial" w:hAnsi="Arial"/>
                <w:sz w:val="18"/>
              </w:rPr>
              <w:t xml:space="preserve">16-Apr-2026</w:t>
            </w:r>
          </w:p>
        </w:tc>
      </w:tr>
      <w:tr>
        <w:tc>
          <w:tcPr>
            <w:tcW w:type="dxa" w:w="2340"/>
          </w:tcPr>
          <w:p>
            <w:pPr>
              <w:spacing w:before="40" w:after="40"/>
            </w:pPr>
            <w:r>
              <w:rPr>
                <w:rFonts w:ascii="Arial" w:hAnsi="Arial"/>
                <w:sz w:val="18"/>
              </w:rPr>
              <w:t xml:space="preserve">Reviewer</w:t>
            </w:r>
          </w:p>
        </w:tc>
        <w:tc>
          <w:tcPr>
            <w:tcW w:type="dxa" w:w="2340"/>
          </w:tcPr>
          <w:p>
            <w:pPr>
              <w:spacing w:before="40" w:after="40"/>
            </w:pPr>
            <w:r>
              <w:rPr>
                <w:rFonts w:ascii="Arial" w:hAnsi="Arial"/>
                <w:sz w:val="18"/>
              </w:rPr>
              <w:t xml:space="preserve">TBD</w:t>
            </w:r>
          </w:p>
        </w:tc>
        <w:tc>
          <w:tcPr>
            <w:tcW w:type="dxa" w:w="2340"/>
          </w:tcPr>
          <w:p>
            <w:pPr>
              <w:spacing w:before="40" w:after="40"/>
            </w:pPr>
            <w:r>
              <w:rPr>
                <w:rFonts w:ascii="Arial" w:hAnsi="Arial"/>
                <w:sz w:val="18"/>
              </w:rPr>
              <w:t xml:space="preserve"/>
            </w:r>
          </w:p>
        </w:tc>
        <w:tc>
          <w:tcPr>
            <w:tcW w:type="dxa" w:w="2340"/>
          </w:tcPr>
          <w:p>
            <w:pPr>
              <w:spacing w:before="40" w:after="40"/>
            </w:pPr>
            <w:r>
              <w:rPr>
                <w:rFonts w:ascii="Arial" w:hAnsi="Arial"/>
                <w:sz w:val="18"/>
              </w:rPr>
              <w:t xml:space="preserve"/>
            </w:r>
          </w:p>
        </w:tc>
      </w:tr>
      <w:tr>
        <w:tc>
          <w:tcPr>
            <w:tcW w:type="dxa" w:w="2340"/>
          </w:tcPr>
          <w:p>
            <w:pPr>
              <w:spacing w:before="40" w:after="40"/>
            </w:pPr>
            <w:r>
              <w:rPr>
                <w:rFonts w:ascii="Arial" w:hAnsi="Arial"/>
                <w:sz w:val="18"/>
              </w:rPr>
              <w:t xml:space="preserve">Approver</w:t>
            </w:r>
          </w:p>
        </w:tc>
        <w:tc>
          <w:tcPr>
            <w:tcW w:type="dxa" w:w="2340"/>
          </w:tcPr>
          <w:p>
            <w:pPr>
              <w:spacing w:before="40" w:after="40"/>
            </w:pPr>
            <w:r>
              <w:rPr>
                <w:rFonts w:ascii="Arial" w:hAnsi="Arial"/>
                <w:sz w:val="18"/>
              </w:rPr>
              <w:t xml:space="preserve">TBD</w:t>
            </w:r>
          </w:p>
        </w:tc>
        <w:tc>
          <w:tcPr>
            <w:tcW w:type="dxa" w:w="2340"/>
          </w:tcPr>
          <w:p>
            <w:pPr>
              <w:spacing w:before="40" w:after="40"/>
            </w:pPr>
            <w:r>
              <w:rPr>
                <w:rFonts w:ascii="Arial" w:hAnsi="Arial"/>
                <w:sz w:val="18"/>
              </w:rPr>
              <w:t xml:space="preserve"/>
            </w:r>
          </w:p>
        </w:tc>
        <w:tc>
          <w:tcPr>
            <w:tcW w:type="dxa" w:w="2340"/>
          </w:tcPr>
          <w:p>
            <w:pPr>
              <w:spacing w:before="40" w:after="40"/>
            </w:pPr>
            <w:r>
              <w:rPr>
                <w:rFonts w:ascii="Arial" w:hAnsi="Arial"/>
                <w:sz w:val="18"/>
              </w:rPr>
              <w:t xml:space="preserve"/>
            </w:r>
          </w:p>
        </w:tc>
      </w:tr>
    </w:tbl>
    <w:p>
      <w:pPr>
        <w:spacing w:before="60" w:after="60"/>
      </w:pPr>
      <w:r>
        <w:rPr>
          <w:rFonts w:ascii="Arial" w:hAnsi="Arial"/>
          <w:sz w:val="20"/>
        </w:rPr>
        <w:t xml:space="preserve">---</w:t>
      </w:r>
    </w:p>
    <w:p>
      <w:pPr>
        <w:spacing w:before="60" w:after="60"/>
      </w:pPr>
      <w:r>
        <w:rPr>
          <w:rFonts w:ascii="Arial" w:hAnsi="Arial"/>
          <w:sz w:val="20"/>
        </w:rPr>
        <w:t xml:space="preserve">1.0 PURPOSE</w:t>
      </w:r>
    </w:p>
    <w:p>
      <w:pPr>
        <w:spacing w:before="60" w:after="60"/>
      </w:pPr>
      <w:r>
        <w:rPr>
          <w:rFonts w:ascii="Arial" w:hAnsi="Arial"/>
          <w:sz w:val="20"/>
        </w:rPr>
        <w:t xml:space="preserve">This Standard Operating Procedure (SOP) establishes the governance framework, procedural requirements, and compliance obligations for the responsible development, deployment, operation, and retirement of Artificial Intelligence (AI) systems within the Global Technology function of a life sciences organisation. This SOP is subject to controlled document management; approval signatures, whether wet or electronic, must be obtained in accordance with 21 CFR Part 11 prior to issuance, and every page of this document must carry a header displaying the document title, document number, revision number, effective date, and page number in the format 'x of y'.</w:t>
      </w:r>
    </w:p>
    <w:p>
      <w:pPr>
        <w:spacing w:before="60" w:after="60"/>
      </w:pPr>
      <w:r>
        <w:rPr>
          <w:rFonts w:ascii="Arial" w:hAnsi="Arial"/>
          <w:sz w:val="20"/>
        </w:rPr>
        <w:t xml:space="preserve">All AI systems supporting regulated operations must be qualified and maintained in a validated state consistent with GAMP 5 (Second Edition, 2022) guidelines for software development and validation in GxP environments. This SOP ensures that AI tools and platforms used across global technology teams, cloud engineering, system administration, and risk and compliance functions operate in a manner that is transparent, auditable, and aligned with applicable regulatory standards, including EU GMP Annex 11 and ISO/IEC 27001:2022.</w:t>
      </w:r>
    </w:p>
    <w:p>
      <w:pPr>
        <w:spacing w:before="60" w:after="60"/>
      </w:pPr>
      <w:r>
        <w:rPr>
          <w:rFonts w:ascii="Arial" w:hAnsi="Arial"/>
          <w:sz w:val="20"/>
        </w:rPr>
        <w:t xml:space="preserve">This SOP mandates adherence to the organisation's Data Integrity Policy (GLBL-POL-00007) for all electronic records managed by or generated through AI systems, and to the Retention, Transfer or Disposal of GxP Regulated Materials policy (GLBL-POL-00078) for data outputs from AI systems used in regulated contexts. The Secure Destruction of Confidential Documents policy (GLBL-POL-00050) applies to all AI-generated confidential outputs. Where AI systems support financial operations, such as SAP-integrated tools, SOX compliance requirements apply.</w:t>
      </w:r>
    </w:p>
    <w:p>
      <w:pPr>
        <w:spacing w:before="60" w:after="60"/>
      </w:pPr>
      <w:r>
        <w:rPr>
          <w:rFonts w:ascii="Arial" w:hAnsi="Arial"/>
          <w:sz w:val="20"/>
        </w:rPr>
        <w:t xml:space="preserve">All changes to AI system configurations must follow the Change Management Process defined in GIT-SOP-00001 before deployment. Vendor-supplied AI technology must be approved prior to use in accordance with the Global Vendor Program. Access control to AI systems must be managed, controlled, and monitored in accordance with applicable SOPs, including GLBL-SOP-00080. A risk-based approach must be applied to AI system documentation, whereby the level of detail in plans reflects the perceived size, impact, risk, complexity, and novelty of the system. A Configuration Management Database (CMDB) entry must be maintained for all AI systems once accepted into production, consistent with infrastructure qualification practices. A project file containing all applicable formal documentation must be developed and maintained for all AI development projects and must be readily available for inspection.</w:t>
      </w:r>
    </w:p>
    <w:p>
      <w:pPr>
        <w:spacing w:before="60" w:after="60"/>
      </w:pPr>
      <w:r>
        <w:rPr>
          <w:rFonts w:ascii="Arial" w:hAnsi="Arial"/>
          <w:sz w:val="20"/>
        </w:rPr>
        <w:t xml:space="preserve">2.0 SCOPE</w:t>
      </w:r>
    </w:p>
    <w:p>
      <w:pPr>
        <w:spacing w:before="60" w:after="60"/>
      </w:pPr>
      <w:r>
        <w:rPr>
          <w:rFonts w:ascii="Arial" w:hAnsi="Arial"/>
          <w:sz w:val="20"/>
        </w:rPr>
        <w:t xml:space="preserve">This SOP applies to all AI systems, tools, models, and automated decision-support technologies developed, procured, deployed, or operated by Global Technology teams within the organisation's life sciences and regulated IT environment. The requirements set forth herein govern the responsible use of AI across all phases of the system lifecycle, from initial concept and vendor selection through development, validation, deployment, and decommissioning. This SOP is a controlled document subject to formal document management; approval signatures, whether wet or electronic, must be obtained in accordance with 21 CFR Part 11 prior to implementation. Every page of this document must carry a header displaying the document number, revision number, effective date, title, and page number.</w:t>
      </w:r>
    </w:p>
    <w:p>
      <w:pPr>
        <w:spacing w:before="60" w:after="60"/>
      </w:pPr>
      <w:r>
        <w:rPr>
          <w:rFonts w:ascii="Arial" w:hAnsi="Arial"/>
          <w:sz w:val="20"/>
        </w:rPr>
        <w:t xml:space="preserve">2.1 Included Within Scope</w:t>
      </w:r>
    </w:p>
    <w:p>
      <w:pPr>
        <w:spacing w:before="60" w:after="60"/>
      </w:pPr>
      <w:r>
        <w:rPr>
          <w:rFonts w:ascii="Arial" w:hAnsi="Arial"/>
          <w:sz w:val="20"/>
        </w:rPr>
        <w:t xml:space="preserve">The following systems, activities, personnel, and compliance obligations are covered by this SOP:</w:t>
      </w:r>
    </w:p>
    <w:p>
      <w:pPr>
        <w:spacing w:before="60" w:after="60"/>
      </w:pPr>
      <w:r>
        <w:rPr>
          <w:rFonts w:ascii="Arial" w:hAnsi="Arial"/>
          <w:sz w:val="20"/>
        </w:rPr>
        <w:t xml:space="preserve">2.1.1 All AI and machine learning systems, including vendor-supplied and internally developed models, used in support of GxP-regulated operations, financial reporting systems (e.g., SAP subject to SOX compliance), and broader Global Technology functions.</w:t>
      </w:r>
    </w:p>
    <w:p>
      <w:pPr>
        <w:spacing w:before="60" w:after="60"/>
      </w:pPr>
      <w:r>
        <w:rPr>
          <w:rFonts w:ascii="Arial" w:hAnsi="Arial"/>
          <w:sz w:val="20"/>
        </w:rPr>
        <w:t xml:space="preserve">2.1.2 All electronic records and data outputs generated by or managed through AI systems, which must adhere to the Data Integrity Policy (GLBL-POL-00007) and be maintained in a validated state consistent with EU GMP Annex 11 and GAMP 5 (Second Edition, 2022) guidelines.</w:t>
      </w:r>
    </w:p>
    <w:p>
      <w:pPr>
        <w:spacing w:before="60" w:after="60"/>
      </w:pPr>
      <w:r>
        <w:rPr>
          <w:rFonts w:ascii="Arial" w:hAnsi="Arial"/>
          <w:sz w:val="20"/>
        </w:rPr>
        <w:t xml:space="preserve">2.1.3 All AI system configurations, updates, and changes, which must follow the Change Management Process (RFC process per GIT-SOP-00001) and be assessed for requalification impact prior to deployment.</w:t>
      </w:r>
    </w:p>
    <w:p>
      <w:pPr>
        <w:spacing w:before="60" w:after="60"/>
      </w:pPr>
      <w:r>
        <w:rPr>
          <w:rFonts w:ascii="Arial" w:hAnsi="Arial"/>
          <w:sz w:val="20"/>
        </w:rPr>
        <w:t xml:space="preserve">2.1.4 Vendor and vendor-supplied AI technologies, which must be reviewed and approved in accordance with the Global Vendor Program before use in any regulated or production environment.</w:t>
      </w:r>
    </w:p>
    <w:p>
      <w:pPr>
        <w:spacing w:before="60" w:after="60"/>
      </w:pPr>
      <w:r>
        <w:rPr>
          <w:rFonts w:ascii="Arial" w:hAnsi="Arial"/>
          <w:sz w:val="20"/>
        </w:rPr>
        <w:t xml:space="preserve">2.1.5 Access control management for all AI systems, which must be properly administered, monitored, and audited in accordance with applicable access control SOPs, including GLBL-SOP-00080, and consistent with ISO/IEC 27001:2022 information security management requirements.</w:t>
      </w:r>
    </w:p>
    <w:p>
      <w:pPr>
        <w:spacing w:before="60" w:after="60"/>
      </w:pPr>
      <w:r>
        <w:rPr>
          <w:rFonts w:ascii="Arial" w:hAnsi="Arial"/>
          <w:sz w:val="20"/>
        </w:rPr>
        <w:t xml:space="preserve">2.1.6 Retention, transfer, and disposal of data outputs from AI systems used in regulated contexts, governed by the Retention, Transfer or Disposal of GxP Regulated Materials Policy (GLBL-POL-00078) and the Secure Destruction of Confidential Documents Policy (GLBL-POL-00050).</w:t>
      </w:r>
    </w:p>
    <w:p>
      <w:pPr>
        <w:spacing w:before="60" w:after="60"/>
      </w:pPr>
      <w:r>
        <w:rPr>
          <w:rFonts w:ascii="Arial" w:hAnsi="Arial"/>
          <w:sz w:val="20"/>
        </w:rPr>
        <w:t xml:space="preserve">2.1.7 All AI development projects, for which a project file containing applicable formal documentation must be developed, maintained, and made readily available for inspection, with the level of documentation detail reflecting the perceived size, impact, risk, complexity, and novelty of the system in accordance with a risk-based approach consistent with GAMP 5 (Second Edition, 2022).</w:t>
      </w:r>
    </w:p>
    <w:p>
      <w:pPr>
        <w:spacing w:before="60" w:after="60"/>
      </w:pPr>
      <w:r>
        <w:rPr>
          <w:rFonts w:ascii="Arial" w:hAnsi="Arial"/>
          <w:sz w:val="20"/>
        </w:rPr>
        <w:t xml:space="preserve">2.1.8 Peer review of AI model code and design specifications, particularly for GxP-aligned AI systems; all peer review activities must be documented and retained as part of the project file.</w:t>
      </w:r>
    </w:p>
    <w:p>
      <w:pPr>
        <w:spacing w:before="60" w:after="60"/>
      </w:pPr>
      <w:r>
        <w:rPr>
          <w:rFonts w:ascii="Arial" w:hAnsi="Arial"/>
          <w:sz w:val="20"/>
        </w:rPr>
        <w:t xml:space="preserve">2.1.9 Configuration Management Database (CMDB) entries, which must be created and maintained for all AI systems once accepted into production, consistent with infrastructure qualification practices and ITIL 4 service management principles.</w:t>
      </w:r>
    </w:p>
    <w:p>
      <w:pPr>
        <w:spacing w:before="60" w:after="60"/>
      </w:pPr>
      <w:r>
        <w:rPr>
          <w:rFonts w:ascii="Arial" w:hAnsi="Arial"/>
          <w:sz w:val="20"/>
        </w:rPr>
        <w:t xml:space="preserve">2.1.10 All Global Technology personnel involved in the design, development, testing, deployment, administration, or oversight of AI systems, including AI Developers, Cloud Engineers, System Administrators, and Risk and Compliance Stakeholders.</w:t>
      </w:r>
    </w:p>
    <w:p>
      <w:pPr>
        <w:spacing w:before="60" w:after="60"/>
      </w:pPr>
      <w:r>
        <w:rPr>
          <w:rFonts w:ascii="Arial" w:hAnsi="Arial"/>
          <w:sz w:val="20"/>
        </w:rPr>
        <w:t xml:space="preserve">2.2 Excluded From Scope</w:t>
      </w:r>
    </w:p>
    <w:p>
      <w:pPr>
        <w:spacing w:before="60" w:after="60"/>
      </w:pPr>
      <w:r>
        <w:rPr>
          <w:rFonts w:ascii="Arial" w:hAnsi="Arial"/>
          <w:sz w:val="20"/>
        </w:rPr>
        <w:t xml:space="preserve">The following are not covered by this SOP:</w:t>
      </w:r>
    </w:p>
    <w:p>
      <w:pPr>
        <w:spacing w:before="60" w:after="60"/>
      </w:pPr>
      <w:r>
        <w:rPr>
          <w:rFonts w:ascii="Arial" w:hAnsi="Arial"/>
          <w:sz w:val="20"/>
        </w:rPr>
        <w:t xml:space="preserve">2.2.1 AI tools used solely for personal productivity purposes that have no interface with regulated systems, GxP data, financial reporting data, or confidential organisational information, and that have not been provisioned through the Global Technology environment.</w:t>
      </w:r>
    </w:p>
    <w:p>
      <w:pPr>
        <w:spacing w:before="60" w:after="60"/>
      </w:pPr>
      <w:r>
        <w:rPr>
          <w:rFonts w:ascii="Arial" w:hAnsi="Arial"/>
          <w:sz w:val="20"/>
        </w:rPr>
        <w:t xml:space="preserve">2.2.2 Research and exploratory proof-of-concept activities conducted entirely within isolated, non-production sandbox environments that have no connectivity to regulated or production systems; such activities remain subject to applicable data classification and information security policies.</w:t>
      </w:r>
    </w:p>
    <w:p>
      <w:pPr>
        <w:spacing w:before="60" w:after="60"/>
      </w:pPr>
      <w:r>
        <w:rPr>
          <w:rFonts w:ascii="Arial" w:hAnsi="Arial"/>
          <w:sz w:val="20"/>
        </w:rPr>
        <w:t xml:space="preserve">2.2.3 Non-technology business process activities that do not involve the development, configuration, or operation of AI systems.</w:t>
      </w:r>
    </w:p>
    <w:p>
      <w:pPr>
        <w:spacing w:before="60" w:after="60"/>
      </w:pPr>
      <w:r>
        <w:rPr>
          <w:rFonts w:ascii="Arial" w:hAnsi="Arial"/>
          <w:sz w:val="20"/>
        </w:rPr>
        <w:t xml:space="preserve">3.0 RESPONSIBILITIES</w:t>
      </w:r>
    </w:p>
    <w:p>
      <w:pPr>
        <w:spacing w:before="60" w:after="60"/>
      </w:pPr>
      <w:r>
        <w:rPr>
          <w:rFonts w:ascii="Arial" w:hAnsi="Arial"/>
          <w:sz w:val="20"/>
        </w:rPr>
        <w:t xml:space="preserve">The following roles and responsibilities apply to all personnel involved in the development, deployment, operation, oversight, and governance of AI systems within Global Technology. Each role must ensure that assigned responsibilities are fulfilled in accordance with GxP requirements, GAMP 5 (Second Edition, 2022), 21 CFR Part 11, EU GMP Annex 11, ISO/IEC 27001:2022, and all applicable organisational policies. Personnel must complete role-specific training before executing any AI qualification or operational activity, and training records must be maintained per applicable GxP requirements.</w:t>
      </w:r>
    </w:p>
    <w:tbl>
      <w:tblPr>
        <w:tblW w:type="dxa" w:w="936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tcPr>
          <w:p>
            <w:pPr>
              <w:spacing w:before="40" w:after="40"/>
            </w:pPr>
            <w:r>
              <w:rPr>
                <w:rFonts w:ascii="Arial" w:hAnsi="Arial"/>
                <w:b/>
                <w:sz w:val="18"/>
              </w:rPr>
              <w:t xml:space="preserve">ROLE</w:t>
            </w:r>
          </w:p>
        </w:tc>
        <w:tc>
          <w:tcPr>
            <w:tcW w:type="dxa" w:w="4680"/>
          </w:tcPr>
          <w:p>
            <w:pPr>
              <w:spacing w:before="40" w:after="40"/>
            </w:pPr>
            <w:r>
              <w:rPr>
                <w:rFonts w:ascii="Arial" w:hAnsi="Arial"/>
                <w:b/>
                <w:sz w:val="18"/>
              </w:rPr>
              <w:t xml:space="preserve">RESPONSIBILITY</w:t>
            </w:r>
          </w:p>
        </w:tc>
      </w:tr>
      <w:tr>
        <w:tc>
          <w:tcPr>
            <w:tcW w:type="dxa" w:w="4680"/>
          </w:tcPr>
          <w:p>
            <w:pPr>
              <w:spacing w:before="40" w:after="40"/>
            </w:pPr>
            <w:r>
              <w:rPr>
                <w:rFonts w:ascii="Arial" w:hAnsi="Arial"/>
                <w:sz w:val="18"/>
              </w:rPr>
              <w:t xml:space="preserve">Chief Information Officer (CIO) / Head of Global Technology</w:t>
            </w:r>
          </w:p>
        </w:tc>
        <w:tc>
          <w:tcPr>
            <w:tcW w:type="dxa" w:w="4680"/>
          </w:tcPr>
          <w:p>
            <w:pPr>
              <w:spacing w:before="40" w:after="40"/>
            </w:pPr>
            <w:r>
              <w:rPr>
                <w:rFonts w:ascii="Arial" w:hAnsi="Arial"/>
                <w:sz w:val="18"/>
              </w:rPr>
              <w:t xml:space="preserve">Provides executive sponsorship and accountability for responsible AI use across Global Technology; ensures adequate resources are allocated for AI governance, qualification, and compliance activities; approves the overall AI governance framework in alignment with GxP and SOX requirements.</w:t>
            </w:r>
          </w:p>
        </w:tc>
      </w:tr>
      <w:tr>
        <w:tc>
          <w:tcPr>
            <w:tcW w:type="dxa" w:w="4680"/>
          </w:tcPr>
          <w:p>
            <w:pPr>
              <w:spacing w:before="40" w:after="40"/>
            </w:pPr>
            <w:r>
              <w:rPr>
                <w:rFonts w:ascii="Arial" w:hAnsi="Arial"/>
                <w:sz w:val="18"/>
              </w:rPr>
              <w:t xml:space="preserve">AI Governance Lead / AI Programme Manager</w:t>
            </w:r>
          </w:p>
        </w:tc>
        <w:tc>
          <w:tcPr>
            <w:tcW w:type="dxa" w:w="4680"/>
          </w:tcPr>
          <w:p>
            <w:pPr>
              <w:spacing w:before="40" w:after="40"/>
            </w:pPr>
            <w:r>
              <w:rPr>
                <w:rFonts w:ascii="Arial" w:hAnsi="Arial"/>
                <w:sz w:val="18"/>
              </w:rPr>
              <w:t xml:space="preserve">Owns and maintains this SOP and associated AI governance documentation; coordinates cross-functional AI risk assessments; ensures all AI systems are inventoried in the Configuration Management Database (CMDB) upon acceptance into production; oversees adherence to the risk-based approach for AI system documentation consistent with GAMP 5 (Second Edition, 2022); chairs AI governance review forums.</w:t>
            </w:r>
          </w:p>
        </w:tc>
      </w:tr>
      <w:tr>
        <w:tc>
          <w:tcPr>
            <w:tcW w:type="dxa" w:w="4680"/>
          </w:tcPr>
          <w:p>
            <w:pPr>
              <w:spacing w:before="40" w:after="40"/>
            </w:pPr>
            <w:r>
              <w:rPr>
                <w:rFonts w:ascii="Arial" w:hAnsi="Arial"/>
                <w:sz w:val="18"/>
              </w:rPr>
              <w:t xml:space="preserve">AI Developer / Machine Learning Engineer</w:t>
            </w:r>
          </w:p>
        </w:tc>
        <w:tc>
          <w:tcPr>
            <w:tcW w:type="dxa" w:w="4680"/>
          </w:tcPr>
          <w:p>
            <w:pPr>
              <w:spacing w:before="40" w:after="40"/>
            </w:pPr>
            <w:r>
              <w:rPr>
                <w:rFonts w:ascii="Arial" w:hAnsi="Arial"/>
                <w:sz w:val="18"/>
              </w:rPr>
              <w:t xml:space="preserve">Develops AI models and associated code in accordance with GAMP 5 (Second Edition, 2022) software development and validation guidelines; conducts and documents peer review of AI model code and design specifications, particularly for GxP-aligned systems; maintains a project file for all AI development projects containing all applicable formal documentation, readily available for inspection; ensures all changes to AI system configurations follow the Change Management Process per GIT-SOP-00001 before deployment.</w:t>
            </w:r>
          </w:p>
        </w:tc>
      </w:tr>
      <w:tr>
        <w:tc>
          <w:tcPr>
            <w:tcW w:type="dxa" w:w="4680"/>
          </w:tcPr>
          <w:p>
            <w:pPr>
              <w:spacing w:before="40" w:after="40"/>
            </w:pPr>
            <w:r>
              <w:rPr>
                <w:rFonts w:ascii="Arial" w:hAnsi="Arial"/>
                <w:sz w:val="18"/>
              </w:rPr>
              <w:t xml:space="preserve">Cloud Engineer / System Administrator</w:t>
            </w:r>
          </w:p>
        </w:tc>
        <w:tc>
          <w:tcPr>
            <w:tcW w:type="dxa" w:w="4680"/>
          </w:tcPr>
          <w:p>
            <w:pPr>
              <w:spacing w:before="40" w:after="40"/>
            </w:pPr>
            <w:r>
              <w:rPr>
                <w:rFonts w:ascii="Arial" w:hAnsi="Arial"/>
                <w:sz w:val="18"/>
              </w:rPr>
              <w:t xml:space="preserve">Provisions, configures, and maintains infrastructure supporting AI systems in a qualified and validated state; manages CMDB entries for all AI systems consistent with infrastructure qualification practices; implements and monitors access controls for AI systems in accordance with GLBL-SOP-00080 and ISO/IEC 27001:2022; ensures physical and logical security controls are applied per EU GMP Annex 11 and applicable IT security SOPs.</w:t>
            </w:r>
          </w:p>
        </w:tc>
      </w:tr>
      <w:tr>
        <w:tc>
          <w:tcPr>
            <w:tcW w:type="dxa" w:w="4680"/>
          </w:tcPr>
          <w:p>
            <w:pPr>
              <w:spacing w:before="40" w:after="40"/>
            </w:pPr>
            <w:r>
              <w:rPr>
                <w:rFonts w:ascii="Arial" w:hAnsi="Arial"/>
                <w:sz w:val="18"/>
              </w:rPr>
              <w:t xml:space="preserve">Validation / Qualification Lead</w:t>
            </w:r>
          </w:p>
        </w:tc>
        <w:tc>
          <w:tcPr>
            <w:tcW w:type="dxa" w:w="4680"/>
          </w:tcPr>
          <w:p>
            <w:pPr>
              <w:spacing w:before="40" w:after="40"/>
            </w:pPr>
            <w:r>
              <w:rPr>
                <w:rFonts w:ascii="Arial" w:hAnsi="Arial"/>
                <w:sz w:val="18"/>
              </w:rPr>
              <w:t xml:space="preserve">Ensures all AI systems supporting regulated operations are qualified and maintained in a validated state in accordance with applicable SOPs and GAMP 5 (Second Edition, 2022); applies a risk-based approach to determine the level of validation documentation required, reflecting the size, impact, risk, complexity, and novelty of each AI system; reviews and approves qualification evidence and deviation reports prior to system release.</w:t>
            </w:r>
          </w:p>
        </w:tc>
      </w:tr>
      <w:tr>
        <w:tc>
          <w:tcPr>
            <w:tcW w:type="dxa" w:w="4680"/>
          </w:tcPr>
          <w:p>
            <w:pPr>
              <w:spacing w:before="40" w:after="40"/>
            </w:pPr>
            <w:r>
              <w:rPr>
                <w:rFonts w:ascii="Arial" w:hAnsi="Arial"/>
                <w:sz w:val="18"/>
              </w:rPr>
              <w:t xml:space="preserve">Quality Assurance (QA) Representative</w:t>
            </w:r>
          </w:p>
        </w:tc>
        <w:tc>
          <w:tcPr>
            <w:tcW w:type="dxa" w:w="4680"/>
          </w:tcPr>
          <w:p>
            <w:pPr>
              <w:spacing w:before="40" w:after="40"/>
            </w:pPr>
            <w:r>
              <w:rPr>
                <w:rFonts w:ascii="Arial" w:hAnsi="Arial"/>
                <w:sz w:val="18"/>
              </w:rPr>
              <w:t xml:space="preserve">Reviews and approves AI system qualification documentation, deviations, and change control records to ensure GxP compliance; verifies adherence to the Data Integrity policy (GLBL-POL-00007) for all electronic records managed by or generated through AI systems; reviews AI-related deviations and ensures root cause analysis and corrective actions are completed and documented; approves requalification scope assessments following approved changes per GIT-SOP-00001.</w:t>
            </w:r>
          </w:p>
        </w:tc>
      </w:tr>
      <w:tr>
        <w:tc>
          <w:tcPr>
            <w:tcW w:type="dxa" w:w="4680"/>
          </w:tcPr>
          <w:p>
            <w:pPr>
              <w:spacing w:before="40" w:after="40"/>
            </w:pPr>
            <w:r>
              <w:rPr>
                <w:rFonts w:ascii="Arial" w:hAnsi="Arial"/>
                <w:sz w:val="18"/>
              </w:rPr>
              <w:t xml:space="preserve">Risk and Compliance Manager</w:t>
            </w:r>
          </w:p>
        </w:tc>
        <w:tc>
          <w:tcPr>
            <w:tcW w:type="dxa" w:w="4680"/>
          </w:tcPr>
          <w:p>
            <w:pPr>
              <w:spacing w:before="40" w:after="40"/>
            </w:pPr>
            <w:r>
              <w:rPr>
                <w:rFonts w:ascii="Arial" w:hAnsi="Arial"/>
                <w:sz w:val="18"/>
              </w:rPr>
              <w:t xml:space="preserve">Conducts and maintains AI risk assessments in alignment with ISO/IEC 27001:2022 and applicable GxP frameworks; monitors compliance with SOX requirements for AI systems used in financial operations such as SAP; ensures vendor and vendor-supplied AI technology is approved prior to use in accordance with the Global Vendor Programme; tracks and reports on AI-related compliance obligations and audit findings.</w:t>
            </w:r>
          </w:p>
        </w:tc>
      </w:tr>
      <w:tr>
        <w:tc>
          <w:tcPr>
            <w:tcW w:type="dxa" w:w="4680"/>
          </w:tcPr>
          <w:p>
            <w:pPr>
              <w:spacing w:before="40" w:after="40"/>
            </w:pPr>
            <w:r>
              <w:rPr>
                <w:rFonts w:ascii="Arial" w:hAnsi="Arial"/>
                <w:sz w:val="18"/>
              </w:rPr>
              <w:t xml:space="preserve">Data Steward / Data Owner</w:t>
            </w:r>
          </w:p>
        </w:tc>
        <w:tc>
          <w:tcPr>
            <w:tcW w:type="dxa" w:w="4680"/>
          </w:tcPr>
          <w:p>
            <w:pPr>
              <w:spacing w:before="40" w:after="40"/>
            </w:pPr>
            <w:r>
              <w:rPr>
                <w:rFonts w:ascii="Arial" w:hAnsi="Arial"/>
                <w:sz w:val="18"/>
              </w:rPr>
              <w:t xml:space="preserve">Ensures data inputs and outputs of AI systems comply with the Data Integrity policy (GLBL-POL-00007); oversees the retention, transfer, and disposal of data outputs from AI systems used in regulated contexts in accordance with Retention, Transfer or Disposal of GxP Regulated Materials policy (GLBL-POL-00078); ensures secure destruction of AI-generated confidential outputs per Secure Destruction of Confidential Documents policy (GLBL-POL-00050).</w:t>
            </w:r>
          </w:p>
        </w:tc>
      </w:tr>
      <w:tr>
        <w:tc>
          <w:tcPr>
            <w:tcW w:type="dxa" w:w="4680"/>
          </w:tcPr>
          <w:p>
            <w:pPr>
              <w:spacing w:before="40" w:after="40"/>
            </w:pPr>
            <w:r>
              <w:rPr>
                <w:rFonts w:ascii="Arial" w:hAnsi="Arial"/>
                <w:sz w:val="18"/>
              </w:rPr>
              <w:t xml:space="preserve">Information Security Officer (ISO)</w:t>
            </w:r>
          </w:p>
        </w:tc>
        <w:tc>
          <w:tcPr>
            <w:tcW w:type="dxa" w:w="4680"/>
          </w:tcPr>
          <w:p>
            <w:pPr>
              <w:spacing w:before="40" w:after="40"/>
            </w:pPr>
            <w:r>
              <w:rPr>
                <w:rFonts w:ascii="Arial" w:hAnsi="Arial"/>
                <w:sz w:val="18"/>
              </w:rPr>
              <w:t xml:space="preserve">Defines and enforces cybersecurity controls for AI systems consistent with ISO/IEC 27001:2022; oversees access control management for AI systems per GLBL-SOP-00080; leads cybersecurity incident response activities involving AI systems, including detection, containment, and escalation; ensures AI system security posture is reviewed as part of change control assessments per GIT-SOP-00001.</w:t>
            </w:r>
          </w:p>
        </w:tc>
      </w:tr>
      <w:tr>
        <w:tc>
          <w:tcPr>
            <w:tcW w:type="dxa" w:w="4680"/>
          </w:tcPr>
          <w:p>
            <w:pPr>
              <w:spacing w:before="40" w:after="40"/>
            </w:pPr>
            <w:r>
              <w:rPr>
                <w:rFonts w:ascii="Arial" w:hAnsi="Arial"/>
                <w:sz w:val="18"/>
              </w:rPr>
              <w:t xml:space="preserve">IT Service Management Lead</w:t>
            </w:r>
          </w:p>
        </w:tc>
        <w:tc>
          <w:tcPr>
            <w:tcW w:type="dxa" w:w="4680"/>
          </w:tcPr>
          <w:p>
            <w:pPr>
              <w:spacing w:before="40" w:after="40"/>
            </w:pPr>
            <w:r>
              <w:rPr>
                <w:rFonts w:ascii="Arial" w:hAnsi="Arial"/>
                <w:sz w:val="18"/>
              </w:rPr>
              <w:t xml:space="preserve">Ensures AI system incidents, service requests, and changes are managed through established ITIL 4-aligned IT service management processes; maintains service continuity for AI systems supporting regulated operations; coordinates with the Validation Lead and QA Representative to ensure change management activities per GIT-SOP-00001 are reflected in the service management toolset.</w:t>
            </w:r>
          </w:p>
        </w:tc>
      </w:tr>
      <w:tr>
        <w:tc>
          <w:tcPr>
            <w:tcW w:type="dxa" w:w="4680"/>
          </w:tcPr>
          <w:p>
            <w:pPr>
              <w:spacing w:before="40" w:after="40"/>
            </w:pPr>
            <w:r>
              <w:rPr>
                <w:rFonts w:ascii="Arial" w:hAnsi="Arial"/>
                <w:sz w:val="18"/>
              </w:rPr>
              <w:t xml:space="preserve">All Personnel Using AI Systems</w:t>
            </w:r>
          </w:p>
        </w:tc>
        <w:tc>
          <w:tcPr>
            <w:tcW w:type="dxa" w:w="4680"/>
          </w:tcPr>
          <w:p>
            <w:pPr>
              <w:spacing w:before="40" w:after="40"/>
            </w:pPr>
            <w:r>
              <w:rPr>
                <w:rFonts w:ascii="Arial" w:hAnsi="Arial"/>
                <w:sz w:val="18"/>
              </w:rPr>
              <w:t xml:space="preserve">Use AI systems only for approved and authorised purposes in accordance with this SOP and applicable policies; complete mandatory role-specific training before operating any AI system in a regulated context; report suspected AI system anomalies, data integrity concerns, or security incidents to the appropriate team immediately; comply with access control requirements per GLBL-SOP-00080 and data handling requirements per GLBL-POL-00007.</w:t>
            </w:r>
          </w:p>
        </w:tc>
      </w:tr>
    </w:tbl>
    <w:p>
      <w:pPr>
        <w:spacing w:before="60" w:after="60"/>
      </w:pPr>
      <w:r>
        <w:rPr>
          <w:rFonts w:ascii="Arial" w:hAnsi="Arial"/>
          <w:sz w:val="20"/>
        </w:rPr>
        <w:t xml:space="preserve">4.0 DEFINITIONS</w:t>
      </w:r>
    </w:p>
    <w:p>
      <w:pPr>
        <w:spacing w:before="60" w:after="60"/>
      </w:pPr>
      <w:r>
        <w:rPr>
          <w:rFonts w:ascii="Arial" w:hAnsi="Arial"/>
          <w:sz w:val="20"/>
        </w:rPr>
        <w:t xml:space="preserve">The following terms and definitions apply to this Standard Operating Procedure:</w:t>
      </w:r>
    </w:p>
    <w:tbl>
      <w:tblPr>
        <w:tblW w:type="dxa" w:w="936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tcPr>
          <w:p>
            <w:pPr>
              <w:spacing w:before="40" w:after="40"/>
            </w:pPr>
            <w:r>
              <w:rPr>
                <w:rFonts w:ascii="Arial" w:hAnsi="Arial"/>
                <w:b/>
                <w:sz w:val="18"/>
              </w:rPr>
              <w:t xml:space="preserve">Term</w:t>
            </w:r>
          </w:p>
        </w:tc>
        <w:tc>
          <w:tcPr>
            <w:tcW w:type="dxa" w:w="4680"/>
          </w:tcPr>
          <w:p>
            <w:pPr>
              <w:spacing w:before="40" w:after="40"/>
            </w:pPr>
            <w:r>
              <w:rPr>
                <w:rFonts w:ascii="Arial" w:hAnsi="Arial"/>
                <w:b/>
                <w:sz w:val="18"/>
              </w:rPr>
              <w:t xml:space="preserve">Definition</w:t>
            </w:r>
          </w:p>
        </w:tc>
      </w:tr>
      <w:tr>
        <w:tc>
          <w:tcPr>
            <w:tcW w:type="dxa" w:w="4680"/>
          </w:tcPr>
          <w:p>
            <w:pPr>
              <w:spacing w:before="40" w:after="40"/>
            </w:pPr>
            <w:r>
              <w:rPr>
                <w:rFonts w:ascii="Arial" w:hAnsi="Arial"/>
                <w:sz w:val="18"/>
              </w:rPr>
              <w:t xml:space="preserve">Artificial Intelligence (AI) System</w:t>
            </w:r>
          </w:p>
        </w:tc>
        <w:tc>
          <w:tcPr>
            <w:tcW w:type="dxa" w:w="4680"/>
          </w:tcPr>
          <w:p>
            <w:pPr>
              <w:spacing w:before="40" w:after="40"/>
            </w:pPr>
            <w:r>
              <w:rPr>
                <w:rFonts w:ascii="Arial" w:hAnsi="Arial"/>
                <w:sz w:val="18"/>
              </w:rPr>
              <w:t xml:space="preserve">A machine-based system that, for a given set of objectives, makes predictions, recommendations, decisions, or generates content influencing real or virtual environments. In the context of this SOP, AI systems include machine learning models, large language models, generative AI tools, and automated decision-support systems deployed within Global Technology operations.</w:t>
            </w:r>
          </w:p>
        </w:tc>
      </w:tr>
      <w:tr>
        <w:tc>
          <w:tcPr>
            <w:tcW w:type="dxa" w:w="4680"/>
          </w:tcPr>
          <w:p>
            <w:pPr>
              <w:spacing w:before="40" w:after="40"/>
            </w:pPr>
            <w:r>
              <w:rPr>
                <w:rFonts w:ascii="Arial" w:hAnsi="Arial"/>
                <w:sz w:val="18"/>
              </w:rPr>
              <w:t xml:space="preserve">GxP</w:t>
            </w:r>
          </w:p>
        </w:tc>
        <w:tc>
          <w:tcPr>
            <w:tcW w:type="dxa" w:w="4680"/>
          </w:tcPr>
          <w:p>
            <w:pPr>
              <w:spacing w:before="40" w:after="40"/>
            </w:pPr>
            <w:r>
              <w:rPr>
                <w:rFonts w:ascii="Arial" w:hAnsi="Arial"/>
                <w:sz w:val="18"/>
              </w:rPr>
              <w:t xml:space="preserve">A collective term for Good Practice quality guidelines and regulations applicable to life sciences industries, including Good Manufacturing Practice (GMP), Good Clinical Practice (GCP), Good Laboratory Practice (GLP), and Good Distribution Practice (GDP). All AI systems supporting GxP-regulated operations must be qualified and maintained in a validated state in accordance with applicable SOPs and GAMP 5 (Second Edition, 2022).</w:t>
            </w:r>
          </w:p>
        </w:tc>
      </w:tr>
      <w:tr>
        <w:tc>
          <w:tcPr>
            <w:tcW w:type="dxa" w:w="4680"/>
          </w:tcPr>
          <w:p>
            <w:pPr>
              <w:spacing w:before="40" w:after="40"/>
            </w:pPr>
            <w:r>
              <w:rPr>
                <w:rFonts w:ascii="Arial" w:hAnsi="Arial"/>
                <w:sz w:val="18"/>
              </w:rPr>
              <w:t xml:space="preserve">GAMP 5</w:t>
            </w:r>
          </w:p>
        </w:tc>
        <w:tc>
          <w:tcPr>
            <w:tcW w:type="dxa" w:w="4680"/>
          </w:tcPr>
          <w:p>
            <w:pPr>
              <w:spacing w:before="40" w:after="40"/>
            </w:pPr>
            <w:r>
              <w:rPr>
                <w:rFonts w:ascii="Arial" w:hAnsi="Arial"/>
                <w:sz w:val="18"/>
              </w:rPr>
              <w:t xml:space="preserve">Good Automated Manufacturing Practice, Fifth Edition (Second Edition, 2022), published by ISPE. A risk-based framework providing guidance on the validation and lifecycle management of automated systems used in GxP-regulated environments. GAMP 5 principles govern software development, validation, and documentation requirements for AI systems within scope of this SOP.</w:t>
            </w:r>
          </w:p>
        </w:tc>
      </w:tr>
      <w:tr>
        <w:tc>
          <w:tcPr>
            <w:tcW w:type="dxa" w:w="4680"/>
          </w:tcPr>
          <w:p>
            <w:pPr>
              <w:spacing w:before="40" w:after="40"/>
            </w:pPr>
            <w:r>
              <w:rPr>
                <w:rFonts w:ascii="Arial" w:hAnsi="Arial"/>
                <w:sz w:val="18"/>
              </w:rPr>
              <w:t xml:space="preserve">Validated State</w:t>
            </w:r>
          </w:p>
        </w:tc>
        <w:tc>
          <w:tcPr>
            <w:tcW w:type="dxa" w:w="4680"/>
          </w:tcPr>
          <w:p>
            <w:pPr>
              <w:spacing w:before="40" w:after="40"/>
            </w:pPr>
            <w:r>
              <w:rPr>
                <w:rFonts w:ascii="Arial" w:hAnsi="Arial"/>
                <w:sz w:val="18"/>
              </w:rPr>
              <w:t xml:space="preserve">The condition of an AI system or automated tool that has been formally qualified, tested, and documented to demonstrate that it consistently performs its intended function within defined parameters, in accordance with applicable validation SOPs and GAMP 5 (Second Edition, 2022).</w:t>
            </w:r>
          </w:p>
        </w:tc>
      </w:tr>
      <w:tr>
        <w:tc>
          <w:tcPr>
            <w:tcW w:type="dxa" w:w="4680"/>
          </w:tcPr>
          <w:p>
            <w:pPr>
              <w:spacing w:before="40" w:after="40"/>
            </w:pPr>
            <w:r>
              <w:rPr>
                <w:rFonts w:ascii="Arial" w:hAnsi="Arial"/>
                <w:sz w:val="18"/>
              </w:rPr>
              <w:t xml:space="preserve">21 CFR Part 11</w:t>
            </w:r>
          </w:p>
        </w:tc>
        <w:tc>
          <w:tcPr>
            <w:tcW w:type="dxa" w:w="4680"/>
          </w:tcPr>
          <w:p>
            <w:pPr>
              <w:spacing w:before="40" w:after="40"/>
            </w:pPr>
            <w:r>
              <w:rPr>
                <w:rFonts w:ascii="Arial" w:hAnsi="Arial"/>
                <w:sz w:val="18"/>
              </w:rPr>
              <w:t xml:space="preserve">Title 21 of the Code of Federal Regulations, Part 11, issued by the U.S. Food and Drug Administration (FDA). Establishes requirements for electronic records and electronic signatures used in regulated life sciences operations. All electronic records generated by or through AI systems in regulated contexts must comply with 21 CFR Part 11.</w:t>
            </w:r>
          </w:p>
        </w:tc>
      </w:tr>
      <w:tr>
        <w:tc>
          <w:tcPr>
            <w:tcW w:type="dxa" w:w="4680"/>
          </w:tcPr>
          <w:p>
            <w:pPr>
              <w:spacing w:before="40" w:after="40"/>
            </w:pPr>
            <w:r>
              <w:rPr>
                <w:rFonts w:ascii="Arial" w:hAnsi="Arial"/>
                <w:sz w:val="18"/>
              </w:rPr>
              <w:t xml:space="preserve">EU GMP Annex 11</w:t>
            </w:r>
          </w:p>
        </w:tc>
        <w:tc>
          <w:tcPr>
            <w:tcW w:type="dxa" w:w="4680"/>
          </w:tcPr>
          <w:p>
            <w:pPr>
              <w:spacing w:before="40" w:after="40"/>
            </w:pPr>
            <w:r>
              <w:rPr>
                <w:rFonts w:ascii="Arial" w:hAnsi="Arial"/>
                <w:sz w:val="18"/>
              </w:rPr>
              <w:t xml:space="preserve">The European Union Good Manufacturing Practice guideline governing computerised systems used in GxP-regulated manufacturing and operations. AI systems operating within EU-regulated environments must comply with EU GMP Annex 11 requirements for system validation, data integrity, and audit trails.</w:t>
            </w:r>
          </w:p>
        </w:tc>
      </w:tr>
      <w:tr>
        <w:tc>
          <w:tcPr>
            <w:tcW w:type="dxa" w:w="4680"/>
          </w:tcPr>
          <w:p>
            <w:pPr>
              <w:spacing w:before="40" w:after="40"/>
            </w:pPr>
            <w:r>
              <w:rPr>
                <w:rFonts w:ascii="Arial" w:hAnsi="Arial"/>
                <w:sz w:val="18"/>
              </w:rPr>
              <w:t xml:space="preserve">ISO/IEC 27001:2022</w:t>
            </w:r>
          </w:p>
        </w:tc>
        <w:tc>
          <w:tcPr>
            <w:tcW w:type="dxa" w:w="4680"/>
          </w:tcPr>
          <w:p>
            <w:pPr>
              <w:spacing w:before="40" w:after="40"/>
            </w:pPr>
            <w:r>
              <w:rPr>
                <w:rFonts w:ascii="Arial" w:hAnsi="Arial"/>
                <w:sz w:val="18"/>
              </w:rPr>
              <w:t xml:space="preserve">The international standard specifying requirements for establishing, implementing, maintaining, and continually improving an information security management system (ISMS). AI systems and associated infrastructure must be managed in accordance with ISO/IEC 27001:2022 to ensure appropriate information security controls are applied.</w:t>
            </w:r>
          </w:p>
        </w:tc>
      </w:tr>
      <w:tr>
        <w:tc>
          <w:tcPr>
            <w:tcW w:type="dxa" w:w="4680"/>
          </w:tcPr>
          <w:p>
            <w:pPr>
              <w:spacing w:before="40" w:after="40"/>
            </w:pPr>
            <w:r>
              <w:rPr>
                <w:rFonts w:ascii="Arial" w:hAnsi="Arial"/>
                <w:sz w:val="18"/>
              </w:rPr>
              <w:t xml:space="preserve">Data Integrity</w:t>
            </w:r>
          </w:p>
        </w:tc>
        <w:tc>
          <w:tcPr>
            <w:tcW w:type="dxa" w:w="4680"/>
          </w:tcPr>
          <w:p>
            <w:pPr>
              <w:spacing w:before="40" w:after="40"/>
            </w:pPr>
            <w:r>
              <w:rPr>
                <w:rFonts w:ascii="Arial" w:hAnsi="Arial"/>
                <w:sz w:val="18"/>
              </w:rPr>
              <w:t xml:space="preserve">The assurance that data is complete, consistent, accurate, and maintained throughout its lifecycle, in accordance with the ALCOA+ principles (Attributable, Legible, Contemporaneous, Original, Accurate, plus Complete, Consistent, Enduring, and Available). All electronic records managed by or generated through AI systems must adhere to the Data Integrity Policy (GLBL-POL-00007).</w:t>
            </w:r>
          </w:p>
        </w:tc>
      </w:tr>
      <w:tr>
        <w:tc>
          <w:tcPr>
            <w:tcW w:type="dxa" w:w="4680"/>
          </w:tcPr>
          <w:p>
            <w:pPr>
              <w:spacing w:before="40" w:after="40"/>
            </w:pPr>
            <w:r>
              <w:rPr>
                <w:rFonts w:ascii="Arial" w:hAnsi="Arial"/>
                <w:sz w:val="18"/>
              </w:rPr>
              <w:t xml:space="preserve">Configuration Management Database (CMDB)</w:t>
            </w:r>
          </w:p>
        </w:tc>
        <w:tc>
          <w:tcPr>
            <w:tcW w:type="dxa" w:w="4680"/>
          </w:tcPr>
          <w:p>
            <w:pPr>
              <w:spacing w:before="40" w:after="40"/>
            </w:pPr>
            <w:r>
              <w:rPr>
                <w:rFonts w:ascii="Arial" w:hAnsi="Arial"/>
                <w:sz w:val="18"/>
              </w:rPr>
              <w:t xml:space="preserve">A centralised repository that stores information about hardware, software, and system components (configuration items) and their relationships within the IT environment. A CMDB entry must be maintained for all AI systems once accepted into production, consistent with infrastructure qualification practices.</w:t>
            </w:r>
          </w:p>
        </w:tc>
      </w:tr>
      <w:tr>
        <w:tc>
          <w:tcPr>
            <w:tcW w:type="dxa" w:w="4680"/>
          </w:tcPr>
          <w:p>
            <w:pPr>
              <w:spacing w:before="40" w:after="40"/>
            </w:pPr>
            <w:r>
              <w:rPr>
                <w:rFonts w:ascii="Arial" w:hAnsi="Arial"/>
                <w:sz w:val="18"/>
              </w:rPr>
              <w:t xml:space="preserve">Change Management Process (RFC)</w:t>
            </w:r>
          </w:p>
        </w:tc>
        <w:tc>
          <w:tcPr>
            <w:tcW w:type="dxa" w:w="4680"/>
          </w:tcPr>
          <w:p>
            <w:pPr>
              <w:spacing w:before="40" w:after="40"/>
            </w:pPr>
            <w:r>
              <w:rPr>
                <w:rFonts w:ascii="Arial" w:hAnsi="Arial"/>
                <w:sz w:val="18"/>
              </w:rPr>
              <w:t xml:space="preserve">The formal process by which all changes to AI system configurations, infrastructure, or associated components are requested, reviewed, approved, and implemented. All AI system changes must follow the established Change Management Process per GIT-SOP-00001 before deployment.</w:t>
            </w:r>
          </w:p>
        </w:tc>
      </w:tr>
      <w:tr>
        <w:tc>
          <w:tcPr>
            <w:tcW w:type="dxa" w:w="4680"/>
          </w:tcPr>
          <w:p>
            <w:pPr>
              <w:spacing w:before="40" w:after="40"/>
            </w:pPr>
            <w:r>
              <w:rPr>
                <w:rFonts w:ascii="Arial" w:hAnsi="Arial"/>
                <w:sz w:val="18"/>
              </w:rPr>
              <w:t xml:space="preserve">Risk-Based Approach</w:t>
            </w:r>
          </w:p>
        </w:tc>
        <w:tc>
          <w:tcPr>
            <w:tcW w:type="dxa" w:w="4680"/>
          </w:tcPr>
          <w:p>
            <w:pPr>
              <w:spacing w:before="40" w:after="40"/>
            </w:pPr>
            <w:r>
              <w:rPr>
                <w:rFonts w:ascii="Arial" w:hAnsi="Arial"/>
                <w:sz w:val="18"/>
              </w:rPr>
              <w:t xml:space="preserve">A methodology in which the level of effort, documentation, and controls applied to an AI system is proportionate to the perceived size, impact, risk, complexity, and novelty of that system. This approach governs the depth of documentation required in AI project files and validation plans.</w:t>
            </w:r>
          </w:p>
        </w:tc>
      </w:tr>
      <w:tr>
        <w:tc>
          <w:tcPr>
            <w:tcW w:type="dxa" w:w="4680"/>
          </w:tcPr>
          <w:p>
            <w:pPr>
              <w:spacing w:before="40" w:after="40"/>
            </w:pPr>
            <w:r>
              <w:rPr>
                <w:rFonts w:ascii="Arial" w:hAnsi="Arial"/>
                <w:sz w:val="18"/>
              </w:rPr>
              <w:t xml:space="preserve">Project File</w:t>
            </w:r>
          </w:p>
        </w:tc>
        <w:tc>
          <w:tcPr>
            <w:tcW w:type="dxa" w:w="4680"/>
          </w:tcPr>
          <w:p>
            <w:pPr>
              <w:spacing w:before="40" w:after="40"/>
            </w:pPr>
            <w:r>
              <w:rPr>
                <w:rFonts w:ascii="Arial" w:hAnsi="Arial"/>
                <w:sz w:val="18"/>
              </w:rPr>
              <w:t xml:space="preserve">A structured collection of formal documentation maintained for each AI development project, including design specifications, risk assessments, validation plans, test evidence, peer review records, and change history. Project files must be developed, maintained, and made readily available for inspection throughout the AI system lifecycle.</w:t>
            </w:r>
          </w:p>
        </w:tc>
      </w:tr>
      <w:tr>
        <w:tc>
          <w:tcPr>
            <w:tcW w:type="dxa" w:w="4680"/>
          </w:tcPr>
          <w:p>
            <w:pPr>
              <w:spacing w:before="40" w:after="40"/>
            </w:pPr>
            <w:r>
              <w:rPr>
                <w:rFonts w:ascii="Arial" w:hAnsi="Arial"/>
                <w:sz w:val="18"/>
              </w:rPr>
              <w:t xml:space="preserve">Peer Review</w:t>
            </w:r>
          </w:p>
        </w:tc>
        <w:tc>
          <w:tcPr>
            <w:tcW w:type="dxa" w:w="4680"/>
          </w:tcPr>
          <w:p>
            <w:pPr>
              <w:spacing w:before="40" w:after="40"/>
            </w:pPr>
            <w:r>
              <w:rPr>
                <w:rFonts w:ascii="Arial" w:hAnsi="Arial"/>
                <w:sz w:val="18"/>
              </w:rPr>
              <w:t xml:space="preserve">A formal evaluation of AI model code, design specifications, or other technical artefacts conducted by qualified personnel independent of the original author. Peer review must be performed and documented for GxP-aligned AI systems to ensure accuracy, compliance, and fitness for purpose.</w:t>
            </w:r>
          </w:p>
        </w:tc>
      </w:tr>
      <w:tr>
        <w:tc>
          <w:tcPr>
            <w:tcW w:type="dxa" w:w="4680"/>
          </w:tcPr>
          <w:p>
            <w:pPr>
              <w:spacing w:before="40" w:after="40"/>
            </w:pPr>
            <w:r>
              <w:rPr>
                <w:rFonts w:ascii="Arial" w:hAnsi="Arial"/>
                <w:sz w:val="18"/>
              </w:rPr>
              <w:t xml:space="preserve">Vendor-Supplied AI Technology</w:t>
            </w:r>
          </w:p>
        </w:tc>
        <w:tc>
          <w:tcPr>
            <w:tcW w:type="dxa" w:w="4680"/>
          </w:tcPr>
          <w:p>
            <w:pPr>
              <w:spacing w:before="40" w:after="40"/>
            </w:pPr>
            <w:r>
              <w:rPr>
                <w:rFonts w:ascii="Arial" w:hAnsi="Arial"/>
                <w:sz w:val="18"/>
              </w:rPr>
              <w:t xml:space="preserve">Any AI system, tool, model, or component procured from an external third-party supplier. Vendor-supplied AI technology must be approved prior to use in accordance with the Global Vendor Program, and the supplying vendor must be assessed for compliance with applicable quality and security requirements.</w:t>
            </w:r>
          </w:p>
        </w:tc>
      </w:tr>
      <w:tr>
        <w:tc>
          <w:tcPr>
            <w:tcW w:type="dxa" w:w="4680"/>
          </w:tcPr>
          <w:p>
            <w:pPr>
              <w:spacing w:before="40" w:after="40"/>
            </w:pPr>
            <w:r>
              <w:rPr>
                <w:rFonts w:ascii="Arial" w:hAnsi="Arial"/>
                <w:sz w:val="18"/>
              </w:rPr>
              <w:t xml:space="preserve">Access Control</w:t>
            </w:r>
          </w:p>
        </w:tc>
        <w:tc>
          <w:tcPr>
            <w:tcW w:type="dxa" w:w="4680"/>
          </w:tcPr>
          <w:p>
            <w:pPr>
              <w:spacing w:before="40" w:after="40"/>
            </w:pPr>
            <w:r>
              <w:rPr>
                <w:rFonts w:ascii="Arial" w:hAnsi="Arial"/>
                <w:sz w:val="18"/>
              </w:rPr>
              <w:t xml:space="preserve">The policies, procedures, and technical mechanisms used to restrict and monitor access to AI systems and their associated data. Access control to AI systems must be properly managed, controlled, and monitored in accordance with applicable SOPs, including GLBL-SOP-00080.</w:t>
            </w:r>
          </w:p>
        </w:tc>
      </w:tr>
      <w:tr>
        <w:tc>
          <w:tcPr>
            <w:tcW w:type="dxa" w:w="4680"/>
          </w:tcPr>
          <w:p>
            <w:pPr>
              <w:spacing w:before="40" w:after="40"/>
            </w:pPr>
            <w:r>
              <w:rPr>
                <w:rFonts w:ascii="Arial" w:hAnsi="Arial"/>
                <w:sz w:val="18"/>
              </w:rPr>
              <w:t xml:space="preserve">SOX (Sarbanes-Oxley Act)</w:t>
            </w:r>
          </w:p>
        </w:tc>
        <w:tc>
          <w:tcPr>
            <w:tcW w:type="dxa" w:w="4680"/>
          </w:tcPr>
          <w:p>
            <w:pPr>
              <w:spacing w:before="40" w:after="40"/>
            </w:pPr>
            <w:r>
              <w:rPr>
                <w:rFonts w:ascii="Arial" w:hAnsi="Arial"/>
                <w:sz w:val="18"/>
              </w:rPr>
              <w:t xml:space="preserve">The Sarbanes-Oxley Act of 2002, a U.S. federal law establishing requirements for financial reporting accuracy and internal controls. SOX compliance requirements apply to applicable AI-enabled applications, such as SAP, used in financial operations within scope of this SOP.</w:t>
            </w:r>
          </w:p>
        </w:tc>
      </w:tr>
      <w:tr>
        <w:tc>
          <w:tcPr>
            <w:tcW w:type="dxa" w:w="4680"/>
          </w:tcPr>
          <w:p>
            <w:pPr>
              <w:spacing w:before="40" w:after="40"/>
            </w:pPr>
            <w:r>
              <w:rPr>
                <w:rFonts w:ascii="Arial" w:hAnsi="Arial"/>
                <w:sz w:val="18"/>
              </w:rPr>
              <w:t xml:space="preserve">Electronic Record</w:t>
            </w:r>
          </w:p>
        </w:tc>
        <w:tc>
          <w:tcPr>
            <w:tcW w:type="dxa" w:w="4680"/>
          </w:tcPr>
          <w:p>
            <w:pPr>
              <w:spacing w:before="40" w:after="40"/>
            </w:pPr>
            <w:r>
              <w:rPr>
                <w:rFonts w:ascii="Arial" w:hAnsi="Arial"/>
                <w:sz w:val="18"/>
              </w:rPr>
              <w:t xml:space="preserve">Any combination of text, graphics, data, audio, pictorial, or other information representation in digital form that is created, modified, maintained, archived, retrieved, or distributed by a computer system. Electronic records generated by AI systems in regulated contexts must comply with 21 CFR Part 11 and the Data Integrity Policy (GLBL-POL-00007).</w:t>
            </w:r>
          </w:p>
        </w:tc>
      </w:tr>
      <w:tr>
        <w:tc>
          <w:tcPr>
            <w:tcW w:type="dxa" w:w="4680"/>
          </w:tcPr>
          <w:p>
            <w:pPr>
              <w:spacing w:before="40" w:after="40"/>
            </w:pPr>
            <w:r>
              <w:rPr>
                <w:rFonts w:ascii="Arial" w:hAnsi="Arial"/>
                <w:sz w:val="18"/>
              </w:rPr>
              <w:t xml:space="preserve">Secure Destruction</w:t>
            </w:r>
          </w:p>
        </w:tc>
        <w:tc>
          <w:tcPr>
            <w:tcW w:type="dxa" w:w="4680"/>
          </w:tcPr>
          <w:p>
            <w:pPr>
              <w:spacing w:before="40" w:after="40"/>
            </w:pPr>
            <w:r>
              <w:rPr>
                <w:rFonts w:ascii="Arial" w:hAnsi="Arial"/>
                <w:sz w:val="18"/>
              </w:rPr>
              <w:t xml:space="preserve">The irreversible elimination of confidential data or documents such that recovery is not possible. Secure destruction of AI-generated confidential outputs must be performed in accordance with the Secure Destruction of Confidential Documents Policy (GLBL-POL-00050).</w:t>
            </w:r>
          </w:p>
        </w:tc>
      </w:tr>
      <w:tr>
        <w:tc>
          <w:tcPr>
            <w:tcW w:type="dxa" w:w="4680"/>
          </w:tcPr>
          <w:p>
            <w:pPr>
              <w:spacing w:before="40" w:after="40"/>
            </w:pPr>
            <w:r>
              <w:rPr>
                <w:rFonts w:ascii="Arial" w:hAnsi="Arial"/>
                <w:sz w:val="18"/>
              </w:rPr>
              <w:t xml:space="preserve">Retention, Transfer, or Disposal</w:t>
            </w:r>
          </w:p>
        </w:tc>
        <w:tc>
          <w:tcPr>
            <w:tcW w:type="dxa" w:w="4680"/>
          </w:tcPr>
          <w:p>
            <w:pPr>
              <w:spacing w:before="40" w:after="40"/>
            </w:pPr>
            <w:r>
              <w:rPr>
                <w:rFonts w:ascii="Arial" w:hAnsi="Arial"/>
                <w:sz w:val="18"/>
              </w:rPr>
              <w:t xml:space="preserve">The lifecycle management activities governing how GxP-regulated data and materials are retained for required periods, transferred between systems or parties, or disposed of at end of life. Data outputs from AI systems used in regulated contexts are subject to the Retention, Transfer or Disposal of GxP Regulated Materials Policy (GLBL-POL-00078).</w:t>
            </w:r>
          </w:p>
        </w:tc>
      </w:tr>
      <w:tr>
        <w:tc>
          <w:tcPr>
            <w:tcW w:type="dxa" w:w="4680"/>
          </w:tcPr>
          <w:p>
            <w:pPr>
              <w:spacing w:before="40" w:after="40"/>
            </w:pPr>
            <w:r>
              <w:rPr>
                <w:rFonts w:ascii="Arial" w:hAnsi="Arial"/>
                <w:sz w:val="18"/>
              </w:rPr>
              <w:t xml:space="preserve">Responsible AI</w:t>
            </w:r>
          </w:p>
        </w:tc>
        <w:tc>
          <w:tcPr>
            <w:tcW w:type="dxa" w:w="4680"/>
          </w:tcPr>
          <w:p>
            <w:pPr>
              <w:spacing w:before="40" w:after="40"/>
            </w:pPr>
            <w:r>
              <w:rPr>
                <w:rFonts w:ascii="Arial" w:hAnsi="Arial"/>
                <w:sz w:val="18"/>
              </w:rPr>
              <w:t xml:space="preserve">The practice of designing, developing, deploying, and monitoring AI systems in a manner that is ethical, transparent, accountable, fair, and compliant with applicable regulatory and organisational requirements. Responsible AI use requires adherence to GxP principles, data integrity standards, access controls, and change management processes as defined in this SOP.</w:t>
            </w:r>
          </w:p>
        </w:tc>
      </w:tr>
    </w:tbl>
    <w:p>
      <w:pPr>
        <w:spacing w:before="60" w:after="60"/>
      </w:pPr>
      <w:r>
        <w:rPr>
          <w:rFonts w:ascii="Arial" w:hAnsi="Arial"/>
          <w:sz w:val="20"/>
        </w:rPr>
        <w:t xml:space="preserve">5.0 MATERIALS</w:t>
      </w:r>
    </w:p>
    <w:p>
      <w:pPr>
        <w:spacing w:before="60" w:after="60"/>
      </w:pPr>
      <w:r>
        <w:rPr>
          <w:rFonts w:ascii="Arial" w:hAnsi="Arial"/>
          <w:sz w:val="20"/>
        </w:rPr>
        <w:t xml:space="preserve">The following materials, tools, systems, and reference documents are required to support the responsible use of AI within Global Technology operations. All AI systems and vendor-supplied technologies must be approved prior to use in accordance with the Global Vendor Program and must be maintained in a qualified and validated state consistent with GAMP 5 (Second Edition, 2022) and applicable GxP requirements. Access to all listed systems must be managed, controlled, and monitored in accordance with GLBL-SOP-00080 and 21 CFR Part 11 where electronic records and signatures are involved.</w:t>
      </w:r>
    </w:p>
    <w:p>
      <w:pPr>
        <w:spacing w:before="60" w:after="60"/>
      </w:pPr>
      <w:r>
        <w:rPr>
          <w:rFonts w:ascii="Arial" w:hAnsi="Arial"/>
          <w:sz w:val="20"/>
        </w:rPr>
        <w:t xml:space="preserve">5.1 AI development and deployment platforms approved through the Global Vendor Program and registered in the Configuration Management Database (CMDB) upon acceptance into production.</w:t>
      </w:r>
    </w:p>
    <w:p>
      <w:pPr>
        <w:spacing w:before="60" w:after="60"/>
      </w:pPr>
      <w:r>
        <w:rPr>
          <w:rFonts w:ascii="Arial" w:hAnsi="Arial"/>
          <w:sz w:val="20"/>
        </w:rPr>
        <w:t xml:space="preserve">5.2 Cloud infrastructure and hosting environments used to deploy, operate, or monitor AI systems, qualified in accordance with EU GMP Annex 11 and ISO/IEC 27001:2022.</w:t>
      </w:r>
    </w:p>
    <w:p>
      <w:pPr>
        <w:spacing w:before="60" w:after="60"/>
      </w:pPr>
      <w:r>
        <w:rPr>
          <w:rFonts w:ascii="Arial" w:hAnsi="Arial"/>
          <w:sz w:val="20"/>
        </w:rPr>
        <w:t xml:space="preserve">5.3 Model development and version control tools (e.g., code repositories, model registries) used for peer review and documentation of AI model code and design specifications.</w:t>
      </w:r>
    </w:p>
    <w:p>
      <w:pPr>
        <w:spacing w:before="60" w:after="60"/>
      </w:pPr>
      <w:r>
        <w:rPr>
          <w:rFonts w:ascii="Arial" w:hAnsi="Arial"/>
          <w:sz w:val="20"/>
        </w:rPr>
        <w:t xml:space="preserve">5.4 Validation and qualification documentation templates, including Validation Plans, User Requirements Specifications (URS), Functional Specifications, and Test Protocols, maintained in the project file for each AI development project and available for inspection.</w:t>
      </w:r>
    </w:p>
    <w:p>
      <w:pPr>
        <w:spacing w:before="60" w:after="60"/>
      </w:pPr>
      <w:r>
        <w:rPr>
          <w:rFonts w:ascii="Arial" w:hAnsi="Arial"/>
          <w:sz w:val="20"/>
        </w:rPr>
        <w:t xml:space="preserve">5.5 Change Management tooling supporting the RFC process per Change Management Process SOP GIT-SOP-00001, used to manage and document all changes to AI system configurations prior to deployment.</w:t>
      </w:r>
    </w:p>
    <w:p>
      <w:pPr>
        <w:spacing w:before="60" w:after="60"/>
      </w:pPr>
      <w:r>
        <w:rPr>
          <w:rFonts w:ascii="Arial" w:hAnsi="Arial"/>
          <w:sz w:val="20"/>
        </w:rPr>
        <w:t xml:space="preserve">5.6 Risk assessment templates and tools supporting a risk-based approach to AI system documentation, calibrated to reflect the size, impact, risk, complexity, and novelty of each system.</w:t>
      </w:r>
    </w:p>
    <w:p>
      <w:pPr>
        <w:spacing w:before="60" w:after="60"/>
      </w:pPr>
      <w:r>
        <w:rPr>
          <w:rFonts w:ascii="Arial" w:hAnsi="Arial"/>
          <w:sz w:val="20"/>
        </w:rPr>
        <w:t xml:space="preserve">5.7 Data Integrity Policy GLBL-POL-00007, governing all electronic records managed by or generated through AI systems.</w:t>
      </w:r>
    </w:p>
    <w:p>
      <w:pPr>
        <w:spacing w:before="60" w:after="60"/>
      </w:pPr>
      <w:r>
        <w:rPr>
          <w:rFonts w:ascii="Arial" w:hAnsi="Arial"/>
          <w:sz w:val="20"/>
        </w:rPr>
        <w:t xml:space="preserve">5.8 Retention, Transfer or Disposal of GxP Regulated Materials Policy GLBL-POL-00078, applicable to data outputs from AI systems used in regulated contexts.</w:t>
      </w:r>
    </w:p>
    <w:p>
      <w:pPr>
        <w:spacing w:before="60" w:after="60"/>
      </w:pPr>
      <w:r>
        <w:rPr>
          <w:rFonts w:ascii="Arial" w:hAnsi="Arial"/>
          <w:sz w:val="20"/>
        </w:rPr>
        <w:t xml:space="preserve">5.9 Secure Destruction of Confidential Documents Policy GLBL-POL-00050, applicable to AI-generated confidential outputs.</w:t>
      </w:r>
    </w:p>
    <w:p>
      <w:pPr>
        <w:spacing w:before="60" w:after="60"/>
      </w:pPr>
      <w:r>
        <w:rPr>
          <w:rFonts w:ascii="Arial" w:hAnsi="Arial"/>
          <w:sz w:val="20"/>
        </w:rPr>
        <w:t xml:space="preserve">5.10 Access control management systems and procedures, including GLBL-SOP-00080, governing user provisioning, de-provisioning, and periodic access reviews for all AI systems.</w:t>
      </w:r>
    </w:p>
    <w:p>
      <w:pPr>
        <w:spacing w:before="60" w:after="60"/>
      </w:pPr>
      <w:r>
        <w:rPr>
          <w:rFonts w:ascii="Arial" w:hAnsi="Arial"/>
          <w:sz w:val="20"/>
        </w:rPr>
        <w:t xml:space="preserve">5.11 SOX compliance controls documentation applicable to AI systems supporting financial operations such as SAP.</w:t>
      </w:r>
    </w:p>
    <w:p>
      <w:pPr>
        <w:spacing w:before="60" w:after="60"/>
      </w:pPr>
      <w:r>
        <w:rPr>
          <w:rFonts w:ascii="Arial" w:hAnsi="Arial"/>
          <w:sz w:val="20"/>
        </w:rPr>
        <w:t xml:space="preserve">5.12 Training records management system for capturing and maintaining evidence of role-specific training completed prior to execution of any AI qualification or operational activity.</w:t>
      </w:r>
    </w:p>
    <w:p>
      <w:pPr>
        <w:spacing w:before="60" w:after="60"/>
      </w:pPr>
      <w:r>
        <w:rPr>
          <w:rFonts w:ascii="Arial" w:hAnsi="Arial"/>
          <w:sz w:val="20"/>
        </w:rPr>
        <w:t xml:space="preserve">5.13 Incident and deviation management tools for recording, classifying, and resolving deviations identified during AI system qualification or operation.</w:t>
      </w:r>
    </w:p>
    <w:p>
      <w:pPr>
        <w:spacing w:before="60" w:after="60"/>
      </w:pPr>
      <w:r>
        <w:rPr>
          <w:rFonts w:ascii="Arial" w:hAnsi="Arial"/>
          <w:sz w:val="20"/>
        </w:rPr>
        <w:t xml:space="preserve">5.14 Audit trail and logging infrastructure supporting 21 CFR Part 11 and EU GMP Annex 11 requirements for electronic records generated by AI systems.</w:t>
      </w:r>
    </w:p>
    <w:p>
      <w:pPr>
        <w:spacing w:before="60" w:after="60"/>
      </w:pPr>
      <w:r>
        <w:rPr>
          <w:rFonts w:ascii="Arial" w:hAnsi="Arial"/>
          <w:sz w:val="20"/>
        </w:rPr>
        <w:t xml:space="preserve">6.0 PROCEDURE</w:t>
      </w:r>
    </w:p>
    <w:p>
      <w:pPr>
        <w:spacing w:before="60" w:after="60"/>
      </w:pPr>
      <w:r>
        <w:rPr>
          <w:rFonts w:ascii="Arial" w:hAnsi="Arial"/>
          <w:sz w:val="20"/>
        </w:rPr>
        <w:t xml:space="preserve">The following subsections establish the mandatory procedural requirements governing the identification, classification, risk assessment, governance, data compliance, and validation of AI systems used within Global Technology operations. All personnel executing activities under this SOP must have completed role-specific training prior to performing any qualification or governance activity, and training records must be maintained in accordance with applicable GxP requirements. All AI systems supporting regulated operations must be qualified and maintained in a validated state consistent with GAMP 5 (Second Edition, 2022), EU GMP Annex 11, and 21 CFR Part 11. This SOP is subject to controlled document management; approval signatures — wet or electronic per 21 CFR Part 11 — are required, and every page must carry a header displaying the document title, document ID, revision number, effective date, and page x of y.</w:t>
      </w:r>
    </w:p>
    <w:p>
      <w:pPr>
        <w:spacing w:before="60" w:after="60"/>
      </w:pPr>
      <w:r>
        <w:rPr>
          <w:rFonts w:ascii="Arial" w:hAnsi="Arial"/>
          <w:sz w:val="20"/>
        </w:rPr>
        <w:t xml:space="preserve">6.1 AI Use Case Identification and Classification</w:t>
      </w:r>
    </w:p>
    <w:p>
      <w:pPr>
        <w:spacing w:before="60" w:after="60"/>
      </w:pPr>
      <w:r>
        <w:rPr>
          <w:rFonts w:ascii="Arial" w:hAnsi="Arial"/>
          <w:sz w:val="20"/>
        </w:rPr>
        <w:t xml:space="preserve">All proposed AI use cases must be formally identified, documented, and classified before any development, procurement, or deployment activity is initiated. This process ensures that the appropriate level of governance, validation, and compliance oversight is applied commensurate with the risk and regulatory impact of each use case.</w:t>
      </w:r>
    </w:p>
    <w:p>
      <w:pPr>
        <w:spacing w:before="60" w:after="60"/>
      </w:pPr>
      <w:r>
        <w:rPr>
          <w:rFonts w:ascii="Arial" w:hAnsi="Arial"/>
          <w:sz w:val="20"/>
        </w:rPr>
        <w:t xml:space="preserve">6.1.1 Use Case Identification</w:t>
      </w:r>
    </w:p>
    <w:p>
      <w:pPr>
        <w:spacing w:before="60" w:after="60"/>
      </w:pPr>
      <w:r>
        <w:rPr>
          <w:rFonts w:ascii="Arial" w:hAnsi="Arial"/>
          <w:sz w:val="20"/>
        </w:rPr>
        <w:t xml:space="preserve">The business or technology owner proposing an AI use case must submit a formal AI Use Case Intake Form to the AI Governance function. The intake submission must capture the following minimum information:</w:t>
      </w:r>
    </w:p>
    <w:p>
      <w:pPr>
        <w:spacing w:before="60" w:after="60"/>
      </w:pPr>
      <w:r>
        <w:rPr>
          <w:rFonts w:ascii="Arial" w:hAnsi="Arial"/>
          <w:sz w:val="20"/>
        </w:rPr>
        <w:t xml:space="preserve">6.1.1.1 A clear description of the intended AI capability, including the problem being solved and the expected outcome.</w:t>
      </w:r>
    </w:p>
    <w:p>
      <w:pPr>
        <w:spacing w:before="60" w:after="60"/>
      </w:pPr>
      <w:r>
        <w:rPr>
          <w:rFonts w:ascii="Arial" w:hAnsi="Arial"/>
          <w:sz w:val="20"/>
        </w:rPr>
        <w:t xml:space="preserve">6.1.1.2 The business process, system, or regulated activity the AI tool will interact with or support.</w:t>
      </w:r>
    </w:p>
    <w:p>
      <w:pPr>
        <w:spacing w:before="60" w:after="60"/>
      </w:pPr>
      <w:r>
        <w:rPr>
          <w:rFonts w:ascii="Arial" w:hAnsi="Arial"/>
          <w:sz w:val="20"/>
        </w:rPr>
        <w:t xml:space="preserve">6.1.1.3 The data inputs and outputs involved, including any personal data, patient data, or GxP-regulated electronic records.</w:t>
      </w:r>
    </w:p>
    <w:p>
      <w:pPr>
        <w:spacing w:before="60" w:after="60"/>
      </w:pPr>
      <w:r>
        <w:rPr>
          <w:rFonts w:ascii="Arial" w:hAnsi="Arial"/>
          <w:sz w:val="20"/>
        </w:rPr>
        <w:t xml:space="preserve">6.1.1.4 The proposed deployment environment (cloud, on-premises, hybrid) and any third-party or vendor-supplied AI technology.</w:t>
      </w:r>
    </w:p>
    <w:p>
      <w:pPr>
        <w:spacing w:before="60" w:after="60"/>
      </w:pPr>
      <w:r>
        <w:rPr>
          <w:rFonts w:ascii="Arial" w:hAnsi="Arial"/>
          <w:sz w:val="20"/>
        </w:rPr>
        <w:t xml:space="preserve">6.1.1.5 Identification of whether the use case involves a GxP-regulated process, a SOX-applicable financial operation (e.g., SAP-integrated workflows), or a non-regulated business function.</w:t>
      </w:r>
    </w:p>
    <w:p>
      <w:pPr>
        <w:spacing w:before="60" w:after="60"/>
      </w:pPr>
      <w:r>
        <w:rPr>
          <w:rFonts w:ascii="Arial" w:hAnsi="Arial"/>
          <w:sz w:val="20"/>
        </w:rPr>
        <w:t xml:space="preserve">6.1.2 Use Case Classification</w:t>
      </w:r>
    </w:p>
    <w:p>
      <w:pPr>
        <w:spacing w:before="60" w:after="60"/>
      </w:pPr>
      <w:r>
        <w:rPr>
          <w:rFonts w:ascii="Arial" w:hAnsi="Arial"/>
          <w:sz w:val="20"/>
        </w:rPr>
        <w:t xml:space="preserve">Upon receipt of the intake submission, the AI Governance function must classify the use case into one of the following categories to determine the applicable governance pathway:</w:t>
      </w:r>
    </w:p>
    <w:p>
      <w:pPr>
        <w:spacing w:before="60" w:after="60"/>
      </w:pPr>
      <w:r>
        <w:rPr>
          <w:rFonts w:ascii="Arial" w:hAnsi="Arial"/>
          <w:sz w:val="20"/>
        </w:rPr>
        <w:t xml:space="preserve">6.1.2.1 GxP-Regulated AI: AI systems that directly or indirectly support, automate, or influence GxP-regulated activities, including manufacturing, laboratory operations, clinical data management, pharmacovigilance, or quality management. These systems are subject to full CSV/CSA validation requirements per GAMP 5 (Second Edition, 2022) and EU GMP Annex 11.</w:t>
      </w:r>
    </w:p>
    <w:p>
      <w:pPr>
        <w:spacing w:before="60" w:after="60"/>
      </w:pPr>
      <w:r>
        <w:rPr>
          <w:rFonts w:ascii="Arial" w:hAnsi="Arial"/>
          <w:sz w:val="20"/>
        </w:rPr>
        <w:t xml:space="preserve">6.1.2.2 SOX-Applicable AI: AI systems integrated with or influencing financial reporting processes or SOX-applicable applications such as SAP. These systems must comply with SOX internal control requirements and applicable IT general controls.</w:t>
      </w:r>
    </w:p>
    <w:p>
      <w:pPr>
        <w:spacing w:before="60" w:after="60"/>
      </w:pPr>
      <w:r>
        <w:rPr>
          <w:rFonts w:ascii="Arial" w:hAnsi="Arial"/>
          <w:sz w:val="20"/>
        </w:rPr>
        <w:t xml:space="preserve">6.1.2.3 Non-Regulated Business AI: AI systems supporting non-regulated business functions. These systems are subject to standard IT governance, information security controls per ISO/IEC 27001:2022, and the organisation's AI ethical use requirements.</w:t>
      </w:r>
    </w:p>
    <w:p>
      <w:pPr>
        <w:spacing w:before="60" w:after="60"/>
      </w:pPr>
      <w:r>
        <w:rPr>
          <w:rFonts w:ascii="Arial" w:hAnsi="Arial"/>
          <w:sz w:val="20"/>
        </w:rPr>
        <w:t xml:space="preserve">6.1.2.4 High-Risk AI: Any AI system, regardless of regulatory category, that makes or materially influences decisions affecting patient safety, product quality, data integrity, or individual rights. High-risk AI systems require enhanced governance review and documented ethical impact assessment.</w:t>
      </w:r>
    </w:p>
    <w:p>
      <w:pPr>
        <w:spacing w:before="60" w:after="60"/>
      </w:pPr>
      <w:r>
        <w:rPr>
          <w:rFonts w:ascii="Arial" w:hAnsi="Arial"/>
          <w:sz w:val="20"/>
        </w:rPr>
        <w:t xml:space="preserve">6.1.3 Project File Establishment</w:t>
      </w:r>
    </w:p>
    <w:p>
      <w:pPr>
        <w:spacing w:before="60" w:after="60"/>
      </w:pPr>
      <w:r>
        <w:rPr>
          <w:rFonts w:ascii="Arial" w:hAnsi="Arial"/>
          <w:sz w:val="20"/>
        </w:rPr>
        <w:t xml:space="preserve">A project file must be established for every AI development or procurement project at the point of classification. The project file must contain all applicable formal documentation generated throughout the AI system lifecycle and must be maintained in a readily accessible location for inspection purposes. The level of documentation detail within the project file must reflect the perceived size, impact, risk, complexity, and novelty of the system, consistent with a risk-based approach aligned to GAMP 5 (Second Edition, 2022).</w:t>
      </w:r>
    </w:p>
    <w:p>
      <w:pPr>
        <w:spacing w:before="60" w:after="60"/>
      </w:pPr>
      <w:r>
        <w:rPr>
          <w:rFonts w:ascii="Arial" w:hAnsi="Arial"/>
          <w:sz w:val="20"/>
        </w:rPr>
        <w:t xml:space="preserve">6.2 Risk Assessment and GxP Impact Evaluation</w:t>
      </w:r>
    </w:p>
    <w:p>
      <w:pPr>
        <w:spacing w:before="60" w:after="60"/>
      </w:pPr>
      <w:r>
        <w:rPr>
          <w:rFonts w:ascii="Arial" w:hAnsi="Arial"/>
          <w:sz w:val="20"/>
        </w:rPr>
        <w:t xml:space="preserve">A formal risk assessment must be completed for every AI use case prior to approval for development or deployment. The risk assessment must evaluate the potential impact of the AI system on product quality, patient safety, data integrity, regulatory compliance, and business continuity. Risk assessments must be documented, reviewed by the AI Governance function, and approved by Quality Assurance (QA) for all GxP-classified systems.</w:t>
      </w:r>
    </w:p>
    <w:p>
      <w:pPr>
        <w:spacing w:before="60" w:after="60"/>
      </w:pPr>
      <w:r>
        <w:rPr>
          <w:rFonts w:ascii="Arial" w:hAnsi="Arial"/>
          <w:sz w:val="20"/>
        </w:rPr>
        <w:t xml:space="preserve">6.2.1 Risk Assessment Methodology</w:t>
      </w:r>
    </w:p>
    <w:p>
      <w:pPr>
        <w:spacing w:before="60" w:after="60"/>
      </w:pPr>
      <w:r>
        <w:rPr>
          <w:rFonts w:ascii="Arial" w:hAnsi="Arial"/>
          <w:sz w:val="20"/>
        </w:rPr>
        <w:t xml:space="preserve">The risk assessment must apply a risk-based approach consistent with GAMP 5 (Second Edition, 2022) and must address the following dimensions:</w:t>
      </w:r>
    </w:p>
    <w:p>
      <w:pPr>
        <w:spacing w:before="60" w:after="60"/>
      </w:pPr>
      <w:r>
        <w:rPr>
          <w:rFonts w:ascii="Arial" w:hAnsi="Arial"/>
          <w:sz w:val="20"/>
        </w:rPr>
        <w:t xml:space="preserve">6.2.1.1 Intended use and criticality: the degree to which the AI system's outputs influence regulated decisions, automated actions, or electronic records subject to 21 CFR Part 11 or EU GMP Annex 11.</w:t>
      </w:r>
    </w:p>
    <w:p>
      <w:pPr>
        <w:spacing w:before="60" w:after="60"/>
      </w:pPr>
      <w:r>
        <w:rPr>
          <w:rFonts w:ascii="Arial" w:hAnsi="Arial"/>
          <w:sz w:val="20"/>
        </w:rPr>
        <w:t xml:space="preserve">6.2.1.2 Data integrity risk: the potential for AI-generated or AI-processed electronic records to be incomplete, inaccurate, or non-attributable, assessed against the requirements of Data Integrity Policy GLBL-POL-00007.</w:t>
      </w:r>
    </w:p>
    <w:p>
      <w:pPr>
        <w:spacing w:before="60" w:after="60"/>
      </w:pPr>
      <w:r>
        <w:rPr>
          <w:rFonts w:ascii="Arial" w:hAnsi="Arial"/>
          <w:sz w:val="20"/>
        </w:rPr>
        <w:t xml:space="preserve">6.2.1.3 Model risk: the risk of model bias, model drift, hallucination, or erroneous output, and the consequences of such failures on regulated processes or patient outcomes.</w:t>
      </w:r>
    </w:p>
    <w:p>
      <w:pPr>
        <w:spacing w:before="60" w:after="60"/>
      </w:pPr>
      <w:r>
        <w:rPr>
          <w:rFonts w:ascii="Arial" w:hAnsi="Arial"/>
          <w:sz w:val="20"/>
        </w:rPr>
        <w:t xml:space="preserve">6.2.1.4 Vendor and supply chain risk: the risk associated with vendor-supplied AI technology, including third-party model dependencies, black-box algorithms, and lack of explainability.</w:t>
      </w:r>
    </w:p>
    <w:p>
      <w:pPr>
        <w:spacing w:before="60" w:after="60"/>
      </w:pPr>
      <w:r>
        <w:rPr>
          <w:rFonts w:ascii="Arial" w:hAnsi="Arial"/>
          <w:sz w:val="20"/>
        </w:rPr>
        <w:t xml:space="preserve">6.2.1.5 Cybersecurity risk: the risk of adversarial attack, data poisoning, or unauthorised access to AI systems or training data, assessed in accordance with ISO/IEC 27001:2022.</w:t>
      </w:r>
    </w:p>
    <w:p>
      <w:pPr>
        <w:spacing w:before="60" w:after="60"/>
      </w:pPr>
      <w:r>
        <w:rPr>
          <w:rFonts w:ascii="Arial" w:hAnsi="Arial"/>
          <w:sz w:val="20"/>
        </w:rPr>
        <w:t xml:space="preserve">6.2.1.6 Operational and business continuity risk: the impact of AI system unavailability, degraded performance, or incorrect outputs on regulated operations.</w:t>
      </w:r>
    </w:p>
    <w:p>
      <w:pPr>
        <w:spacing w:before="60" w:after="60"/>
      </w:pPr>
      <w:r>
        <w:rPr>
          <w:rFonts w:ascii="Arial" w:hAnsi="Arial"/>
          <w:sz w:val="20"/>
        </w:rPr>
        <w:t xml:space="preserve">6.2.2 GxP Impact Evaluation</w:t>
      </w:r>
    </w:p>
    <w:p>
      <w:pPr>
        <w:spacing w:before="60" w:after="60"/>
      </w:pPr>
      <w:r>
        <w:rPr>
          <w:rFonts w:ascii="Arial" w:hAnsi="Arial"/>
          <w:sz w:val="20"/>
        </w:rPr>
        <w:t xml:space="preserve">For all AI use cases classified as GxP-Regulated, a formal GxP Impact Evaluation must be completed as part of the risk assessment. The GxP Impact Evaluation must determine:</w:t>
      </w:r>
    </w:p>
    <w:p>
      <w:pPr>
        <w:spacing w:before="60" w:after="60"/>
      </w:pPr>
      <w:r>
        <w:rPr>
          <w:rFonts w:ascii="Arial" w:hAnsi="Arial"/>
          <w:sz w:val="20"/>
        </w:rPr>
        <w:t xml:space="preserve">6.2.2.1 Whether the AI system constitutes a computerised system subject to EU GMP Annex 11 and must therefore be qualified and validated in accordance with applicable SOPs.</w:t>
      </w:r>
    </w:p>
    <w:p>
      <w:pPr>
        <w:spacing w:before="60" w:after="60"/>
      </w:pPr>
      <w:r>
        <w:rPr>
          <w:rFonts w:ascii="Arial" w:hAnsi="Arial"/>
          <w:sz w:val="20"/>
        </w:rPr>
        <w:t xml:space="preserve">6.2.2.2 The GAMP 5 software category applicable to the AI system (e.g., Category 3 — non-configured software, Category 4 — configured software, Category 5 — custom software), which determines the required validation documentation and testing depth.</w:t>
      </w:r>
    </w:p>
    <w:p>
      <w:pPr>
        <w:spacing w:before="60" w:after="60"/>
      </w:pPr>
      <w:r>
        <w:rPr>
          <w:rFonts w:ascii="Arial" w:hAnsi="Arial"/>
          <w:sz w:val="20"/>
        </w:rPr>
        <w:t xml:space="preserve">6.2.2.3 Whether the AI system creates, modifies, maintains, archives, retrieves, or transmits electronic records or electronic signatures subject to 21 CFR Part 11.</w:t>
      </w:r>
    </w:p>
    <w:p>
      <w:pPr>
        <w:spacing w:before="60" w:after="60"/>
      </w:pPr>
      <w:r>
        <w:rPr>
          <w:rFonts w:ascii="Arial" w:hAnsi="Arial"/>
          <w:sz w:val="20"/>
        </w:rPr>
        <w:t xml:space="preserve">6.2.2.4 The applicable data retention, transfer, and disposal requirements under Retention, Transfer or Disposal of GxP Regulated Materials Policy GLBL-POL-00078 for all data outputs generated by the AI system.</w:t>
      </w:r>
    </w:p>
    <w:p>
      <w:pPr>
        <w:spacing w:before="60" w:after="60"/>
      </w:pPr>
      <w:r>
        <w:rPr>
          <w:rFonts w:ascii="Arial" w:hAnsi="Arial"/>
          <w:sz w:val="20"/>
        </w:rPr>
        <w:t xml:space="preserve">6.2.3 Risk Classification and Escalation</w:t>
      </w:r>
    </w:p>
    <w:p>
      <w:pPr>
        <w:spacing w:before="60" w:after="60"/>
      </w:pPr>
      <w:r>
        <w:rPr>
          <w:rFonts w:ascii="Arial" w:hAnsi="Arial"/>
          <w:sz w:val="20"/>
        </w:rPr>
        <w:t xml:space="preserve">Upon completion of the risk assessment, the AI system must be assigned an overall risk classification of Critical, High, Medium, or Low. The risk classification must be documented in the project file and must drive the scope and rigour of subsequent validation, governance, and monitoring activities. Critical and High risk classifications must be escalated to the AI Governance Board and QA for review prior to proceeding. Any deviation from the risk assessment process must be documented as a deviation, classified, and reviewed by QA in accordance with section 6.8.</w:t>
      </w:r>
    </w:p>
    <w:p>
      <w:pPr>
        <w:spacing w:before="60" w:after="60"/>
      </w:pPr>
      <w:r>
        <w:rPr>
          <w:rFonts w:ascii="Arial" w:hAnsi="Arial"/>
          <w:sz w:val="20"/>
        </w:rPr>
        <w:t xml:space="preserve">6.3 AI Model Governance and Approval Workflow</w:t>
      </w:r>
    </w:p>
    <w:p>
      <w:pPr>
        <w:spacing w:before="60" w:after="60"/>
      </w:pPr>
      <w:r>
        <w:rPr>
          <w:rFonts w:ascii="Arial" w:hAnsi="Arial"/>
          <w:sz w:val="20"/>
        </w:rPr>
        <w:t xml:space="preserve">All AI models and AI-enabled systems must pass through a formal governance and approval workflow before being deployed into any production environment. Vendor-supplied AI technology must be approved prior to use in accordance with the Global Vendor Program. No AI system may be deployed into a regulated or production environment without documented approval from the AI Governance function and, where applicable, QA.</w:t>
      </w:r>
    </w:p>
    <w:p>
      <w:pPr>
        <w:spacing w:before="60" w:after="60"/>
      </w:pPr>
      <w:r>
        <w:rPr>
          <w:rFonts w:ascii="Arial" w:hAnsi="Arial"/>
          <w:sz w:val="20"/>
        </w:rPr>
        <w:t xml:space="preserve">6.3.1 Governance Review</w:t>
      </w:r>
    </w:p>
    <w:p>
      <w:pPr>
        <w:spacing w:before="60" w:after="60"/>
      </w:pPr>
      <w:r>
        <w:rPr>
          <w:rFonts w:ascii="Arial" w:hAnsi="Arial"/>
          <w:sz w:val="20"/>
        </w:rPr>
        <w:t xml:space="preserve">The AI Governance function must conduct a structured governance review of each AI system, encompassing the following activities:</w:t>
      </w:r>
    </w:p>
    <w:p>
      <w:pPr>
        <w:spacing w:before="60" w:after="60"/>
      </w:pPr>
      <w:r>
        <w:rPr>
          <w:rFonts w:ascii="Arial" w:hAnsi="Arial"/>
          <w:sz w:val="20"/>
        </w:rPr>
        <w:t xml:space="preserve">6.3.1.1 Review of the completed AI Use Case Intake Form, risk assessment, and GxP Impact Evaluation.</w:t>
      </w:r>
    </w:p>
    <w:p>
      <w:pPr>
        <w:spacing w:before="60" w:after="60"/>
      </w:pPr>
      <w:r>
        <w:rPr>
          <w:rFonts w:ascii="Arial" w:hAnsi="Arial"/>
          <w:sz w:val="20"/>
        </w:rPr>
        <w:t xml:space="preserve">6.3.1.2 Verification that the proposed AI system and any vendor-supplied AI technology have been assessed and approved through the Global Vendor Program prior to procurement or integration.</w:t>
      </w:r>
    </w:p>
    <w:p>
      <w:pPr>
        <w:spacing w:before="60" w:after="60"/>
      </w:pPr>
      <w:r>
        <w:rPr>
          <w:rFonts w:ascii="Arial" w:hAnsi="Arial"/>
          <w:sz w:val="20"/>
        </w:rPr>
        <w:t xml:space="preserve">6.3.1.3 Assessment of the AI system's alignment with the organisation's ethical AI principles, including fairness, transparency, explainability, and accountability.</w:t>
      </w:r>
    </w:p>
    <w:p>
      <w:pPr>
        <w:spacing w:before="60" w:after="60"/>
      </w:pPr>
      <w:r>
        <w:rPr>
          <w:rFonts w:ascii="Arial" w:hAnsi="Arial"/>
          <w:sz w:val="20"/>
        </w:rPr>
        <w:t xml:space="preserve">6.3.1.4 Confirmation that access control requirements have been defined and will be implemented in accordance with applicable SOPs, including GLBL-SOP-00080, consistent with ISO/IEC 27001:2022 and ITIL 4 service management principles.</w:t>
      </w:r>
    </w:p>
    <w:p>
      <w:pPr>
        <w:spacing w:before="60" w:after="60"/>
      </w:pPr>
      <w:r>
        <w:rPr>
          <w:rFonts w:ascii="Arial" w:hAnsi="Arial"/>
          <w:sz w:val="20"/>
        </w:rPr>
        <w:t xml:space="preserve">6.3.1.5 Review of the proposed CMDB entry to be created for the AI system upon acceptance into production, consistent with infrastructure qualification practices.</w:t>
      </w:r>
    </w:p>
    <w:p>
      <w:pPr>
        <w:spacing w:before="60" w:after="60"/>
      </w:pPr>
      <w:r>
        <w:rPr>
          <w:rFonts w:ascii="Arial" w:hAnsi="Arial"/>
          <w:sz w:val="20"/>
        </w:rPr>
        <w:t xml:space="preserve">6.3.2 Peer Review of AI Model Code and Design</w:t>
      </w:r>
    </w:p>
    <w:p>
      <w:pPr>
        <w:spacing w:before="60" w:after="60"/>
      </w:pPr>
      <w:r>
        <w:rPr>
          <w:rFonts w:ascii="Arial" w:hAnsi="Arial"/>
          <w:sz w:val="20"/>
        </w:rPr>
        <w:t xml:space="preserve">For all AI systems classified as GxP-Regulated or High-Risk, a peer review of the AI model code and design specifications must be performed prior to validation testing. The peer review must be conducted by a qualified individual independent of the primary developer. The peer review must assess correctness of logic, adherence to design specifications, compliance with coding standards, and alignment with GAMP 5 (Second Edition, 2022) requirements. The outcome of the peer review, including any findings and their resolution, must be documented and retained in the project file.</w:t>
      </w:r>
    </w:p>
    <w:p>
      <w:pPr>
        <w:spacing w:before="60" w:after="60"/>
      </w:pPr>
      <w:r>
        <w:rPr>
          <w:rFonts w:ascii="Arial" w:hAnsi="Arial"/>
          <w:sz w:val="20"/>
        </w:rPr>
        <w:t xml:space="preserve">6.3.3 Approval Workflow</w:t>
      </w:r>
    </w:p>
    <w:p>
      <w:pPr>
        <w:spacing w:before="60" w:after="60"/>
      </w:pPr>
      <w:r>
        <w:rPr>
          <w:rFonts w:ascii="Arial" w:hAnsi="Arial"/>
          <w:sz w:val="20"/>
        </w:rPr>
        <w:t xml:space="preserve">The formal approval workflow for AI system deployment must proceed as follows:</w:t>
      </w:r>
    </w:p>
    <w:p>
      <w:pPr>
        <w:spacing w:before="60" w:after="60"/>
      </w:pPr>
      <w:r>
        <w:rPr>
          <w:rFonts w:ascii="Arial" w:hAnsi="Arial"/>
          <w:sz w:val="20"/>
        </w:rPr>
        <w:t xml:space="preserve">6.3.3.1 The AI system owner must submit the completed governance review package — including the risk assessment, GxP Impact Evaluation, peer review record, and validation summary — to the AI Governance function for approval.</w:t>
      </w:r>
    </w:p>
    <w:p>
      <w:pPr>
        <w:spacing w:before="60" w:after="60"/>
      </w:pPr>
      <w:r>
        <w:rPr>
          <w:rFonts w:ascii="Arial" w:hAnsi="Arial"/>
          <w:sz w:val="20"/>
        </w:rPr>
        <w:t xml:space="preserve">6.3.3.2 The AI Governance function must review the package and issue a governance approval decision within the timeframe defined in the project plan.</w:t>
      </w:r>
    </w:p>
    <w:p>
      <w:pPr>
        <w:spacing w:before="60" w:after="60"/>
      </w:pPr>
      <w:r>
        <w:rPr>
          <w:rFonts w:ascii="Arial" w:hAnsi="Arial"/>
          <w:sz w:val="20"/>
        </w:rPr>
        <w:t xml:space="preserve">6.3.3.3 For GxP-Regulated AI systems, QA must independently review and approve the validation summary and any associated qualification records before production deployment is authorised.</w:t>
      </w:r>
    </w:p>
    <w:p>
      <w:pPr>
        <w:spacing w:before="60" w:after="60"/>
      </w:pPr>
      <w:r>
        <w:rPr>
          <w:rFonts w:ascii="Arial" w:hAnsi="Arial"/>
          <w:sz w:val="20"/>
        </w:rPr>
        <w:t xml:space="preserve">6.3.3.4 Approval decisions must be recorded with electronic signatures in accordance with 21 CFR Part 11 where the AI system supports regulated operations.</w:t>
      </w:r>
    </w:p>
    <w:p>
      <w:pPr>
        <w:spacing w:before="60" w:after="60"/>
      </w:pPr>
      <w:r>
        <w:rPr>
          <w:rFonts w:ascii="Arial" w:hAnsi="Arial"/>
          <w:sz w:val="20"/>
        </w:rPr>
        <w:t xml:space="preserve">6.3.3.5 Upon approval, the AI system must be registered in the CMDB and the project file must be updated to reflect the approved production status.</w:t>
      </w:r>
    </w:p>
    <w:p>
      <w:pPr>
        <w:spacing w:before="60" w:after="60"/>
      </w:pPr>
      <w:r>
        <w:rPr>
          <w:rFonts w:ascii="Arial" w:hAnsi="Arial"/>
          <w:sz w:val="20"/>
        </w:rPr>
        <w:t xml:space="preserve">6.3.4 Change Control for AI Systems</w:t>
      </w:r>
    </w:p>
    <w:p>
      <w:pPr>
        <w:spacing w:before="60" w:after="60"/>
      </w:pPr>
      <w:r>
        <w:rPr>
          <w:rFonts w:ascii="Arial" w:hAnsi="Arial"/>
          <w:sz w:val="20"/>
        </w:rPr>
        <w:t xml:space="preserve">All changes to AI system configurations, model parameters, training data pipelines, or integrated infrastructure must be processed through the formal Change Management Process (RFC process) per Change Management Process SOP GIT-SOP-00001 before deployment. The change control record must include an assessment of the impact on the validated state of the system and must determine whether requalification or revalidation is required. No change may be deployed to a qualified AI system without documented change control approval. Changes affecting GxP-regulated functionality must be reviewed and approved by QA prior to implementation.</w:t>
      </w:r>
    </w:p>
    <w:p>
      <w:pPr>
        <w:spacing w:before="60" w:after="60"/>
      </w:pPr>
      <w:r>
        <w:rPr>
          <w:rFonts w:ascii="Arial" w:hAnsi="Arial"/>
          <w:sz w:val="20"/>
        </w:rPr>
        <w:t xml:space="preserve">6.4 Data Privacy, Security, and Ethical Compliance Requirements</w:t>
      </w:r>
    </w:p>
    <w:p>
      <w:pPr>
        <w:spacing w:before="60" w:after="60"/>
      </w:pPr>
      <w:r>
        <w:rPr>
          <w:rFonts w:ascii="Arial" w:hAnsi="Arial"/>
          <w:sz w:val="20"/>
        </w:rPr>
        <w:t xml:space="preserve">All AI systems must comply with the organisation's data privacy obligations, information security requirements, and ethical AI standards throughout their lifecycle. These requirements apply to AI systems in all classification categories and must be addressed during design, development, validation, and ongoing operation.</w:t>
      </w:r>
    </w:p>
    <w:p>
      <w:pPr>
        <w:spacing w:before="60" w:after="60"/>
      </w:pPr>
      <w:r>
        <w:rPr>
          <w:rFonts w:ascii="Arial" w:hAnsi="Arial"/>
          <w:sz w:val="20"/>
        </w:rPr>
        <w:t xml:space="preserve">6.4.1 Data Privacy Requirements</w:t>
      </w:r>
    </w:p>
    <w:p>
      <w:pPr>
        <w:spacing w:before="60" w:after="60"/>
      </w:pPr>
      <w:r>
        <w:rPr>
          <w:rFonts w:ascii="Arial" w:hAnsi="Arial"/>
          <w:sz w:val="20"/>
        </w:rPr>
        <w:t xml:space="preserve">The AI system owner and development team must ensure the following data privacy controls are implemented prior to deployment:</w:t>
      </w:r>
    </w:p>
    <w:p>
      <w:pPr>
        <w:spacing w:before="60" w:after="60"/>
      </w:pPr>
      <w:r>
        <w:rPr>
          <w:rFonts w:ascii="Arial" w:hAnsi="Arial"/>
          <w:sz w:val="20"/>
        </w:rPr>
        <w:t xml:space="preserve">6.4.1.1 Personal data, patient data, and sensitive data used in AI model training, testing, or inference must be identified, classified, and handled in accordance with applicable data privacy regulations and organisational data governance policies.</w:t>
      </w:r>
    </w:p>
    <w:p>
      <w:pPr>
        <w:spacing w:before="60" w:after="60"/>
      </w:pPr>
      <w:r>
        <w:rPr>
          <w:rFonts w:ascii="Arial" w:hAnsi="Arial"/>
          <w:sz w:val="20"/>
        </w:rPr>
        <w:t xml:space="preserve">6.4.1.2 Data minimisation principles must be applied: only the minimum data necessary for the intended AI function may be collected, processed, or retained.</w:t>
      </w:r>
    </w:p>
    <w:p>
      <w:pPr>
        <w:spacing w:before="60" w:after="60"/>
      </w:pPr>
      <w:r>
        <w:rPr>
          <w:rFonts w:ascii="Arial" w:hAnsi="Arial"/>
          <w:sz w:val="20"/>
        </w:rPr>
        <w:t xml:space="preserve">6.4.1.3 AI-generated confidential outputs must be subject to secure handling and, upon disposal, must be destroyed in accordance with Secure Destruction of Confidential Documents Policy GLBL-POL-00050.</w:t>
      </w:r>
    </w:p>
    <w:p>
      <w:pPr>
        <w:spacing w:before="60" w:after="60"/>
      </w:pPr>
      <w:r>
        <w:rPr>
          <w:rFonts w:ascii="Arial" w:hAnsi="Arial"/>
          <w:sz w:val="20"/>
        </w:rPr>
        <w:t xml:space="preserve">6.4.1.4 Data outputs from AI systems used in regulated contexts must be retained, transferred, or disposed of in accordance with Retention, Transfer or Disposal of GxP Regulated Materials Policy GLBL-POL-00078.</w:t>
      </w:r>
    </w:p>
    <w:p>
      <w:pPr>
        <w:spacing w:before="60" w:after="60"/>
      </w:pPr>
      <w:r>
        <w:rPr>
          <w:rFonts w:ascii="Arial" w:hAnsi="Arial"/>
          <w:sz w:val="20"/>
        </w:rPr>
        <w:t xml:space="preserve">6.4.1.5 All electronic records created, modified, or transmitted by AI systems in regulated environments must comply with data integrity requirements per Data Integrity Policy GLBL-POL-00007 and 21 CFR Part 11.</w:t>
      </w:r>
    </w:p>
    <w:p>
      <w:pPr>
        <w:spacing w:before="60" w:after="60"/>
      </w:pPr>
      <w:r>
        <w:rPr>
          <w:rFonts w:ascii="Arial" w:hAnsi="Arial"/>
          <w:sz w:val="20"/>
        </w:rPr>
        <w:t xml:space="preserve">6.4.2 Information Security Requirements</w:t>
      </w:r>
    </w:p>
    <w:p>
      <w:pPr>
        <w:spacing w:before="60" w:after="60"/>
      </w:pPr>
      <w:r>
        <w:rPr>
          <w:rFonts w:ascii="Arial" w:hAnsi="Arial"/>
          <w:sz w:val="20"/>
        </w:rPr>
        <w:t xml:space="preserve">AI systems must be designed, deployed, and operated in accordance with the organisation's information security framework, consistent with ISO/IEC 27001:2022. The following security controls must be implemented and verified:</w:t>
      </w:r>
    </w:p>
    <w:p>
      <w:pPr>
        <w:spacing w:before="60" w:after="60"/>
      </w:pPr>
      <w:r>
        <w:rPr>
          <w:rFonts w:ascii="Arial" w:hAnsi="Arial"/>
          <w:sz w:val="20"/>
        </w:rPr>
        <w:t xml:space="preserve">6.4.2.1 Access control to AI systems must be properly managed, controlled, and monitored in accordance with GLBL-SOP-00080. Role-based access must be defined, approved, and reviewed at defined intervals.</w:t>
      </w:r>
    </w:p>
    <w:p>
      <w:pPr>
        <w:spacing w:before="60" w:after="60"/>
      </w:pPr>
      <w:r>
        <w:rPr>
          <w:rFonts w:ascii="Arial" w:hAnsi="Arial"/>
          <w:sz w:val="20"/>
        </w:rPr>
        <w:t xml:space="preserve">6.4.2.2 AI system environments must be protected against unauthorised access, data exfiltration, adversarial input, and model tampering through technical and administrative controls.</w:t>
      </w:r>
    </w:p>
    <w:p>
      <w:pPr>
        <w:spacing w:before="60" w:after="60"/>
      </w:pPr>
      <w:r>
        <w:rPr>
          <w:rFonts w:ascii="Arial" w:hAnsi="Arial"/>
          <w:sz w:val="20"/>
        </w:rPr>
        <w:t xml:space="preserve">6.4.2.3 Cybersecurity incident response procedures must be defined for each AI system, including detection, containment, and escalation steps. Incidents must be reported to the Information Security function and, where applicable, to QA and regulatory authorities in accordance with applicable breach notification requirements.</w:t>
      </w:r>
    </w:p>
    <w:p>
      <w:pPr>
        <w:spacing w:before="60" w:after="60"/>
      </w:pPr>
      <w:r>
        <w:rPr>
          <w:rFonts w:ascii="Arial" w:hAnsi="Arial"/>
          <w:sz w:val="20"/>
        </w:rPr>
        <w:t xml:space="preserve">6.4.2.4 Physical data centre safety controls — including ESD precautions, hot/cold aisle access management, rack safety, and electrical hazard awareness — must be observed for all on-premises AI infrastructure components.</w:t>
      </w:r>
    </w:p>
    <w:p>
      <w:pPr>
        <w:spacing w:before="60" w:after="60"/>
      </w:pPr>
      <w:r>
        <w:rPr>
          <w:rFonts w:ascii="Arial" w:hAnsi="Arial"/>
          <w:sz w:val="20"/>
        </w:rPr>
        <w:t xml:space="preserve">6.4.2.5 Emergency shutdown procedures and escalation contacts must be documented and accessible to operations personnel responsible for AI system infrastructure.</w:t>
      </w:r>
    </w:p>
    <w:p>
      <w:pPr>
        <w:spacing w:before="60" w:after="60"/>
      </w:pPr>
      <w:r>
        <w:rPr>
          <w:rFonts w:ascii="Arial" w:hAnsi="Arial"/>
          <w:sz w:val="20"/>
        </w:rPr>
        <w:t xml:space="preserve">6.4.3 Ethical Compliance Requirements</w:t>
      </w:r>
    </w:p>
    <w:p>
      <w:pPr>
        <w:spacing w:before="60" w:after="60"/>
      </w:pPr>
      <w:r>
        <w:rPr>
          <w:rFonts w:ascii="Arial" w:hAnsi="Arial"/>
          <w:sz w:val="20"/>
        </w:rPr>
        <w:t xml:space="preserve">All AI systems must be assessed for ethical compliance as part of the governance review process. The ethical compliance assessment must address the following:</w:t>
      </w:r>
    </w:p>
    <w:p>
      <w:pPr>
        <w:spacing w:before="60" w:after="60"/>
      </w:pPr>
      <w:r>
        <w:rPr>
          <w:rFonts w:ascii="Arial" w:hAnsi="Arial"/>
          <w:sz w:val="20"/>
        </w:rPr>
        <w:t xml:space="preserve">6.4.3.1 Fairness and bias: the AI model must be evaluated for potential bias in training data, model outputs, and decision logic. Identified biases must be documented, assessed for impact, and mitigated prior to deployment.</w:t>
      </w:r>
    </w:p>
    <w:p>
      <w:pPr>
        <w:spacing w:before="60" w:after="60"/>
      </w:pPr>
      <w:r>
        <w:rPr>
          <w:rFonts w:ascii="Arial" w:hAnsi="Arial"/>
          <w:sz w:val="20"/>
        </w:rPr>
        <w:t xml:space="preserve">6.4.3.2 Transparency and explainability: the AI system must be capable of providing sufficient explanation of its outputs to support human oversight, audit, and regulatory inspection, particularly for GxP-regulated and High-Risk AI systems.</w:t>
      </w:r>
    </w:p>
    <w:p>
      <w:pPr>
        <w:spacing w:before="60" w:after="60"/>
      </w:pPr>
      <w:r>
        <w:rPr>
          <w:rFonts w:ascii="Arial" w:hAnsi="Arial"/>
          <w:sz w:val="20"/>
        </w:rPr>
        <w:t xml:space="preserve">6.4.3.3 Human oversight: AI systems must not be deployed in a manner that removes meaningful human oversight from decisions affecting patient safety, product quality, or individual rights without explicit governance approval and documented risk acceptance.</w:t>
      </w:r>
    </w:p>
    <w:p>
      <w:pPr>
        <w:spacing w:before="60" w:after="60"/>
      </w:pPr>
      <w:r>
        <w:rPr>
          <w:rFonts w:ascii="Arial" w:hAnsi="Arial"/>
          <w:sz w:val="20"/>
        </w:rPr>
        <w:t xml:space="preserve">6.4.3.4 Accountability: ownership of each AI system's outputs and decisions must be clearly assigned to a named individual or function, documented in the project file, and reflected in the CMDB entry.</w:t>
      </w:r>
    </w:p>
    <w:p>
      <w:pPr>
        <w:spacing w:before="60" w:after="60"/>
      </w:pPr>
      <w:r>
        <w:rPr>
          <w:rFonts w:ascii="Arial" w:hAnsi="Arial"/>
          <w:sz w:val="20"/>
        </w:rPr>
        <w:t xml:space="preserve">6.5 AI System Validation and Qualification (CSV/CSA)</w:t>
      </w:r>
    </w:p>
    <w:p>
      <w:pPr>
        <w:spacing w:before="60" w:after="60"/>
      </w:pPr>
      <w:r>
        <w:rPr>
          <w:rFonts w:ascii="Arial" w:hAnsi="Arial"/>
          <w:sz w:val="20"/>
        </w:rPr>
        <w:t xml:space="preserve">All AI systems classified as GxP-Regulated must be validated and qualified in accordance with applicable Computer Software Validation (CSV) and Computer Software Assurance (CSA) principles, consistent with GAMP 5 (Second Edition, 2022), EU GMP Annex 11, and 21 CFR Part 11. The validation approach must be risk-based: the level of validation effort, documentation, and testing must be proportionate to the risk classification, GAMP 5 software category, and complexity of the AI system as determined in section 6.2.</w:t>
      </w:r>
    </w:p>
    <w:p>
      <w:pPr>
        <w:spacing w:before="60" w:after="60"/>
      </w:pPr>
      <w:r>
        <w:rPr>
          <w:rFonts w:ascii="Arial" w:hAnsi="Arial"/>
          <w:sz w:val="20"/>
        </w:rPr>
        <w:t xml:space="preserve">6.5.1 Validation Planning</w:t>
      </w:r>
    </w:p>
    <w:p>
      <w:pPr>
        <w:spacing w:before="60" w:after="60"/>
      </w:pPr>
      <w:r>
        <w:rPr>
          <w:rFonts w:ascii="Arial" w:hAnsi="Arial"/>
          <w:sz w:val="20"/>
        </w:rPr>
        <w:t xml:space="preserve">Prior to commencing validation activities, a Validation Plan must be authored by the AI system owner and reviewed and approved by QA. The Validation Plan must define:</w:t>
      </w:r>
    </w:p>
    <w:p>
      <w:pPr>
        <w:spacing w:before="60" w:after="60"/>
      </w:pPr>
      <w:r>
        <w:rPr>
          <w:rFonts w:ascii="Arial" w:hAnsi="Arial"/>
          <w:sz w:val="20"/>
        </w:rPr>
        <w:t xml:space="preserve">6.5.1.1 The scope of validation, including the AI system components, interfaces, and data flows subject to qualification.</w:t>
      </w:r>
    </w:p>
    <w:p>
      <w:pPr>
        <w:spacing w:before="60" w:after="60"/>
      </w:pPr>
      <w:r>
        <w:rPr>
          <w:rFonts w:ascii="Arial" w:hAnsi="Arial"/>
          <w:sz w:val="20"/>
        </w:rPr>
        <w:t xml:space="preserve">6.5.1.2 The GAMP 5 software category and the corresponding validation lifecycle activities and deliverables required.</w:t>
      </w:r>
    </w:p>
    <w:p>
      <w:pPr>
        <w:spacing w:before="60" w:after="60"/>
      </w:pPr>
      <w:r>
        <w:rPr>
          <w:rFonts w:ascii="Arial" w:hAnsi="Arial"/>
          <w:sz w:val="20"/>
        </w:rPr>
        <w:t xml:space="preserve">6.5.1.3 The roles and responsibilities for each validation activity, including QA oversight responsibilities.</w:t>
      </w:r>
    </w:p>
    <w:p>
      <w:pPr>
        <w:spacing w:before="60" w:after="60"/>
      </w:pPr>
      <w:r>
        <w:rPr>
          <w:rFonts w:ascii="Arial" w:hAnsi="Arial"/>
          <w:sz w:val="20"/>
        </w:rPr>
        <w:t xml:space="preserve">6.5.1.4 The acceptance criteria that must be met for the AI system to be considered validated and approved for production use.</w:t>
      </w:r>
    </w:p>
    <w:p>
      <w:pPr>
        <w:spacing w:before="60" w:after="60"/>
      </w:pPr>
      <w:r>
        <w:rPr>
          <w:rFonts w:ascii="Arial" w:hAnsi="Arial"/>
          <w:sz w:val="20"/>
        </w:rPr>
        <w:t xml:space="preserve">6.5.1.5 The approach to managing deviations identified during validation testing, including classification, documentation, and QA review requirements.</w:t>
      </w:r>
    </w:p>
    <w:p>
      <w:pPr>
        <w:spacing w:before="60" w:after="60"/>
      </w:pPr>
      <w:r>
        <w:rPr>
          <w:rFonts w:ascii="Arial" w:hAnsi="Arial"/>
          <w:sz w:val="20"/>
        </w:rPr>
        <w:t xml:space="preserve">6.5.2 Validation Lifecycle Deliverables</w:t>
      </w:r>
    </w:p>
    <w:p>
      <w:pPr>
        <w:spacing w:before="60" w:after="60"/>
      </w:pPr>
      <w:r>
        <w:rPr>
          <w:rFonts w:ascii="Arial" w:hAnsi="Arial"/>
          <w:sz w:val="20"/>
        </w:rPr>
        <w:t xml:space="preserve">The following validation lifecycle deliverables must be produced, reviewed, and approved as applicable to the AI system's GAMP 5 category and risk classification. All deliverables must be retained in the project file and must be available for regulatory inspection:</w:t>
      </w:r>
    </w:p>
    <w:p>
      <w:pPr>
        <w:spacing w:before="60" w:after="60"/>
      </w:pPr>
      <w:r>
        <w:rPr>
          <w:rFonts w:ascii="Arial" w:hAnsi="Arial"/>
          <w:sz w:val="20"/>
        </w:rPr>
        <w:t xml:space="preserve">6.5.2.1 User Requirements Specification (URS): documents the intended use, functional requirements, and compliance requirements of the AI system from the user and regulatory perspective.</w:t>
      </w:r>
    </w:p>
    <w:p>
      <w:pPr>
        <w:spacing w:before="60" w:after="60"/>
      </w:pPr>
      <w:r>
        <w:rPr>
          <w:rFonts w:ascii="Arial" w:hAnsi="Arial"/>
          <w:sz w:val="20"/>
        </w:rPr>
        <w:t xml:space="preserve">6.5.2.2 Functional Specification (FS) and/or Design Specification (DS): documents how the AI system will meet the URS, including model architecture, data flows, integration points, and security controls.</w:t>
      </w:r>
    </w:p>
    <w:p>
      <w:pPr>
        <w:spacing w:before="60" w:after="60"/>
      </w:pPr>
      <w:r>
        <w:rPr>
          <w:rFonts w:ascii="Arial" w:hAnsi="Arial"/>
          <w:sz w:val="20"/>
        </w:rPr>
        <w:t xml:space="preserve">6.5.2.3 Installation Qualification (IQ): verifies that the AI system and its infrastructure components have been installed correctly and in accordance with approved specifications.</w:t>
      </w:r>
    </w:p>
    <w:p>
      <w:pPr>
        <w:spacing w:before="60" w:after="60"/>
      </w:pPr>
      <w:r>
        <w:rPr>
          <w:rFonts w:ascii="Arial" w:hAnsi="Arial"/>
          <w:sz w:val="20"/>
        </w:rPr>
        <w:t xml:space="preserve">6.5.2.4 Operational Qualification (OQ): verifies that the AI system operates in accordance with its functional and design specifications across defined operational conditions, including boundary and negative test cases.</w:t>
      </w:r>
    </w:p>
    <w:p>
      <w:pPr>
        <w:spacing w:before="60" w:after="60"/>
      </w:pPr>
      <w:r>
        <w:rPr>
          <w:rFonts w:ascii="Arial" w:hAnsi="Arial"/>
          <w:sz w:val="20"/>
        </w:rPr>
        <w:t xml:space="preserve">6.5.2.5 Performance Qualification (PQ): verifies that the AI system consistently performs in accordance with its intended use under representative operational conditions, using production-representative data where applicable.</w:t>
      </w:r>
    </w:p>
    <w:p>
      <w:pPr>
        <w:spacing w:before="60" w:after="60"/>
      </w:pPr>
      <w:r>
        <w:rPr>
          <w:rFonts w:ascii="Arial" w:hAnsi="Arial"/>
          <w:sz w:val="20"/>
        </w:rPr>
        <w:t xml:space="preserve">6.5.2.6 Validation Summary Report: documents the overall outcome of the validation activities, confirms that acceptance criteria have been met or that any deviations have been resolved and accepted by QA, and provides the basis for the production deployment approval decision.</w:t>
      </w:r>
    </w:p>
    <w:p>
      <w:pPr>
        <w:spacing w:before="60" w:after="60"/>
      </w:pPr>
      <w:r>
        <w:rPr>
          <w:rFonts w:ascii="Arial" w:hAnsi="Arial"/>
          <w:sz w:val="20"/>
        </w:rPr>
        <w:t xml:space="preserve">6.5.3 Electronic Records and Audit Trail Requirements</w:t>
      </w:r>
    </w:p>
    <w:p>
      <w:pPr>
        <w:spacing w:before="60" w:after="60"/>
      </w:pPr>
      <w:r>
        <w:rPr>
          <w:rFonts w:ascii="Arial" w:hAnsi="Arial"/>
          <w:sz w:val="20"/>
        </w:rPr>
        <w:t xml:space="preserve">For all GxP-Regulated AI systems, the following electronic records and audit trail controls must be implemented and verified during qualification, in accordance with 21 CFR Part 11 and EU GMP Annex 11:</w:t>
      </w:r>
    </w:p>
    <w:p>
      <w:pPr>
        <w:spacing w:before="60" w:after="60"/>
      </w:pPr>
      <w:r>
        <w:rPr>
          <w:rFonts w:ascii="Arial" w:hAnsi="Arial"/>
          <w:sz w:val="20"/>
        </w:rPr>
        <w:t xml:space="preserve">6.5.3.1 The AI system must generate and maintain a complete, attributable, legible, contemporaneous, original, and accurate (ALCOA+) audit trail of all system activities, data inputs, model outputs, and configuration changes.</w:t>
      </w:r>
    </w:p>
    <w:p>
      <w:pPr>
        <w:spacing w:before="60" w:after="60"/>
      </w:pPr>
      <w:r>
        <w:rPr>
          <w:rFonts w:ascii="Arial" w:hAnsi="Arial"/>
          <w:sz w:val="20"/>
        </w:rPr>
        <w:t xml:space="preserve">6.5.3.2 Audit trail records must be protected from modification or deletion and must be available for review by authorised personnel and regulatory inspectors.</w:t>
      </w:r>
    </w:p>
    <w:p>
      <w:pPr>
        <w:spacing w:before="60" w:after="60"/>
      </w:pPr>
      <w:r>
        <w:rPr>
          <w:rFonts w:ascii="Arial" w:hAnsi="Arial"/>
          <w:sz w:val="20"/>
        </w:rPr>
        <w:t xml:space="preserve">6.5.3.3 Electronic signatures applied within or by the AI system must comply with the identity verification, linking, and non-repudiation requirements of 21 CFR Part 11.</w:t>
      </w:r>
    </w:p>
    <w:p>
      <w:pPr>
        <w:spacing w:before="60" w:after="60"/>
      </w:pPr>
      <w:r>
        <w:rPr>
          <w:rFonts w:ascii="Arial" w:hAnsi="Arial"/>
          <w:sz w:val="20"/>
        </w:rPr>
        <w:t xml:space="preserve">6.5.3.4 Audit trail review must be performed at defined intervals as part of ongoing system monitoring, and the results must be documented and retained.</w:t>
      </w:r>
    </w:p>
    <w:p>
      <w:pPr>
        <w:spacing w:before="60" w:after="60"/>
      </w:pPr>
      <w:r>
        <w:rPr>
          <w:rFonts w:ascii="Arial" w:hAnsi="Arial"/>
          <w:sz w:val="20"/>
        </w:rPr>
        <w:t xml:space="preserve">6.5.4 Ongoing Maintenance of Validated State</w:t>
      </w:r>
    </w:p>
    <w:p>
      <w:pPr>
        <w:spacing w:before="60" w:after="60"/>
      </w:pPr>
      <w:r>
        <w:rPr>
          <w:rFonts w:ascii="Arial" w:hAnsi="Arial"/>
          <w:sz w:val="20"/>
        </w:rPr>
        <w:t xml:space="preserve">Once an AI system has been accepted into production, the validated state must be actively maintained throughout the system's operational lifecycle. The following controls must be applied:</w:t>
      </w:r>
    </w:p>
    <w:p>
      <w:pPr>
        <w:spacing w:before="60" w:after="60"/>
      </w:pPr>
      <w:r>
        <w:rPr>
          <w:rFonts w:ascii="Arial" w:hAnsi="Arial"/>
          <w:sz w:val="20"/>
        </w:rPr>
        <w:t xml:space="preserve">6.5.4.1 All changes to the AI system must be processed through the Change Management Process per GIT-SOP-00001, and the impact on the validated state must be assessed before the change is implemented.</w:t>
      </w:r>
    </w:p>
    <w:p>
      <w:pPr>
        <w:spacing w:before="60" w:after="60"/>
      </w:pPr>
      <w:r>
        <w:rPr>
          <w:rFonts w:ascii="Arial" w:hAnsi="Arial"/>
          <w:sz w:val="20"/>
        </w:rPr>
        <w:t xml:space="preserve">6.5.4.2 Periodic reviews of the AI system's validated state must be conducted at intervals defined in the Validation Plan or applicable SOP, and the results must be documented and approved by QA.</w:t>
      </w:r>
    </w:p>
    <w:p>
      <w:pPr>
        <w:spacing w:before="60" w:after="60"/>
      </w:pPr>
      <w:r>
        <w:rPr>
          <w:rFonts w:ascii="Arial" w:hAnsi="Arial"/>
          <w:sz w:val="20"/>
        </w:rPr>
        <w:t xml:space="preserve">6.5.4.3 Model performance must be monitored on an ongoing basis to detect model drift, degradation, or unexpected behaviour. Identified performance issues must be assessed, documented, and addressed through the deviation or change control process as appropriate.</w:t>
      </w:r>
    </w:p>
    <w:p>
      <w:pPr>
        <w:spacing w:before="60" w:after="60"/>
      </w:pPr>
      <w:r>
        <w:rPr>
          <w:rFonts w:ascii="Arial" w:hAnsi="Arial"/>
          <w:sz w:val="20"/>
        </w:rPr>
        <w:t xml:space="preserve">6.5.4.4 The CMDB entry for the AI system must be maintained and updated to reflect any changes to system configuration, validated state, or operational status, consistent with infrastructure qualification practices.</w:t>
      </w:r>
    </w:p>
    <w:p>
      <w:pPr>
        <w:spacing w:before="60" w:after="60"/>
      </w:pPr>
      <w:r>
        <w:rPr>
          <w:rFonts w:ascii="Arial" w:hAnsi="Arial"/>
          <w:sz w:val="20"/>
        </w:rPr>
        <w:t xml:space="preserve">6.6 Bias Detection, Fairness Review, and Explainability Standards</w:t>
      </w:r>
    </w:p>
    <w:p>
      <w:pPr>
        <w:spacing w:before="60" w:after="60"/>
      </w:pPr>
      <w:r>
        <w:rPr>
          <w:rFonts w:ascii="Arial" w:hAnsi="Arial"/>
          <w:sz w:val="20"/>
        </w:rPr>
        <w:t xml:space="preserve">All AI systems deployed within Global Technology must be evaluated for algorithmic bias and fairness prior to production release and at defined intervals thereafter. Explainability requirements must be established commensurate with the risk classification of the system, consistent with a risk-based approach aligned to GAMP 5 (Second Edition, 2022).</w:t>
      </w:r>
    </w:p>
    <w:p>
      <w:pPr>
        <w:spacing w:before="60" w:after="60"/>
      </w:pPr>
      <w:r>
        <w:rPr>
          <w:rFonts w:ascii="Arial" w:hAnsi="Arial"/>
          <w:sz w:val="20"/>
        </w:rPr>
        <w:t xml:space="preserve">6.6.1 Bias Assessment Requirements</w:t>
      </w:r>
    </w:p>
    <w:p>
      <w:pPr>
        <w:spacing w:before="60" w:after="60"/>
      </w:pPr>
      <w:r>
        <w:rPr>
          <w:rFonts w:ascii="Arial" w:hAnsi="Arial"/>
          <w:sz w:val="20"/>
        </w:rPr>
        <w:t xml:space="preserve">The AI system owner, in collaboration with the Data Science or AI Development team, must conduct a formal bias assessment for every AI system prior to deployment and following any significant model update or retraining event. The bias assessment must:</w:t>
      </w:r>
    </w:p>
    <w:p>
      <w:pPr>
        <w:spacing w:before="60" w:after="60"/>
      </w:pPr>
      <w:r>
        <w:rPr>
          <w:rFonts w:ascii="Arial" w:hAnsi="Arial"/>
          <w:sz w:val="20"/>
        </w:rPr>
        <w:t xml:space="preserve">6.6.1.1 Identify protected attributes and sensitive variables relevant to the system's decision domain (e.g., demographic, geographic, or clinical variables in life sciences contexts).</w:t>
      </w:r>
    </w:p>
    <w:p>
      <w:pPr>
        <w:spacing w:before="60" w:after="60"/>
      </w:pPr>
      <w:r>
        <w:rPr>
          <w:rFonts w:ascii="Arial" w:hAnsi="Arial"/>
          <w:sz w:val="20"/>
        </w:rPr>
        <w:t xml:space="preserve">6.6.1.2 Apply quantitative fairness metrics appropriate to the model type and use case, including but not limited to disparate impact ratio, equalised odds, and demographic parity where applicable.</w:t>
      </w:r>
    </w:p>
    <w:p>
      <w:pPr>
        <w:spacing w:before="60" w:after="60"/>
      </w:pPr>
      <w:r>
        <w:rPr>
          <w:rFonts w:ascii="Arial" w:hAnsi="Arial"/>
          <w:sz w:val="20"/>
        </w:rPr>
        <w:t xml:space="preserve">6.6.1.3 Document all bias assessment results, including datasets used, metrics applied, thresholds defined, and outcomes observed, within the AI system's project file, which must be maintained and made readily available for inspection.</w:t>
      </w:r>
    </w:p>
    <w:p>
      <w:pPr>
        <w:spacing w:before="60" w:after="60"/>
      </w:pPr>
      <w:r>
        <w:rPr>
          <w:rFonts w:ascii="Arial" w:hAnsi="Arial"/>
          <w:sz w:val="20"/>
        </w:rPr>
        <w:t xml:space="preserve">6.6.1.4 Classify any identified bias as critical, major, or minor based on potential impact to regulated operations, patient safety, data integrity, or business decision quality, and initiate a deviation report in accordance with section 6.8 where bias exceeds defined thresholds.</w:t>
      </w:r>
    </w:p>
    <w:p>
      <w:pPr>
        <w:spacing w:before="60" w:after="60"/>
      </w:pPr>
      <w:r>
        <w:rPr>
          <w:rFonts w:ascii="Arial" w:hAnsi="Arial"/>
          <w:sz w:val="20"/>
        </w:rPr>
        <w:t xml:space="preserve">6.6.2 Fairness Review Process</w:t>
      </w:r>
    </w:p>
    <w:p>
      <w:pPr>
        <w:spacing w:before="60" w:after="60"/>
      </w:pPr>
      <w:r>
        <w:rPr>
          <w:rFonts w:ascii="Arial" w:hAnsi="Arial"/>
          <w:sz w:val="20"/>
        </w:rPr>
        <w:t xml:space="preserve">A formal fairness review must be conducted as part of the AI system qualification lifecycle. The fairness review must:</w:t>
      </w:r>
    </w:p>
    <w:p>
      <w:pPr>
        <w:spacing w:before="60" w:after="60"/>
      </w:pPr>
      <w:r>
        <w:rPr>
          <w:rFonts w:ascii="Arial" w:hAnsi="Arial"/>
          <w:sz w:val="20"/>
        </w:rPr>
        <w:t xml:space="preserve">6.6.2.1 Be performed by a peer reviewer independent of the primary model developer, consistent with the peer review requirement for GxP-aligned AI systems. The review and its outcomes must be documented.</w:t>
      </w:r>
    </w:p>
    <w:p>
      <w:pPr>
        <w:spacing w:before="60" w:after="60"/>
      </w:pPr>
      <w:r>
        <w:rPr>
          <w:rFonts w:ascii="Arial" w:hAnsi="Arial"/>
          <w:sz w:val="20"/>
        </w:rPr>
        <w:t xml:space="preserve">6.6.2.2 Evaluate training data representativeness, label quality, and potential sources of historical bias embedded in input datasets.</w:t>
      </w:r>
    </w:p>
    <w:p>
      <w:pPr>
        <w:spacing w:before="60" w:after="60"/>
      </w:pPr>
      <w:r>
        <w:rPr>
          <w:rFonts w:ascii="Arial" w:hAnsi="Arial"/>
          <w:sz w:val="20"/>
        </w:rPr>
        <w:t xml:space="preserve">6.6.2.3 Confirm that fairness thresholds defined during the design phase have been met prior to sign-off on the qualification record.</w:t>
      </w:r>
    </w:p>
    <w:p>
      <w:pPr>
        <w:spacing w:before="60" w:after="60"/>
      </w:pPr>
      <w:r>
        <w:rPr>
          <w:rFonts w:ascii="Arial" w:hAnsi="Arial"/>
          <w:sz w:val="20"/>
        </w:rPr>
        <w:t xml:space="preserve">6.6.2.4 Be repeated following any change to the model, training data, or deployment environment that may affect fairness outcomes, with requalification scope assessed per the Change Management Process GIT-SOP-00001.</w:t>
      </w:r>
    </w:p>
    <w:p>
      <w:pPr>
        <w:spacing w:before="60" w:after="60"/>
      </w:pPr>
      <w:r>
        <w:rPr>
          <w:rFonts w:ascii="Arial" w:hAnsi="Arial"/>
          <w:sz w:val="20"/>
        </w:rPr>
        <w:t xml:space="preserve">6.6.3 Explainability Standards</w:t>
      </w:r>
    </w:p>
    <w:p>
      <w:pPr>
        <w:spacing w:before="60" w:after="60"/>
      </w:pPr>
      <w:r>
        <w:rPr>
          <w:rFonts w:ascii="Arial" w:hAnsi="Arial"/>
          <w:sz w:val="20"/>
        </w:rPr>
        <w:t xml:space="preserve">Explainability requirements must be defined and documented for each AI system in proportion to its risk classification, regulatory context, and the nature of decisions it supports. The following standards apply:</w:t>
      </w:r>
    </w:p>
    <w:p>
      <w:pPr>
        <w:spacing w:before="60" w:after="60"/>
      </w:pPr>
      <w:r>
        <w:rPr>
          <w:rFonts w:ascii="Arial" w:hAnsi="Arial"/>
          <w:sz w:val="20"/>
        </w:rPr>
        <w:t xml:space="preserve">6.6.3.1 High-risk AI systems supporting GxP-regulated operations or financial controls subject to SOX compliance must implement model explainability mechanisms (e.g., SHAP values, LIME, attention maps, or equivalent) that enable qualified personnel to interpret individual predictions or recommendations.</w:t>
      </w:r>
    </w:p>
    <w:p>
      <w:pPr>
        <w:spacing w:before="60" w:after="60"/>
      </w:pPr>
      <w:r>
        <w:rPr>
          <w:rFonts w:ascii="Arial" w:hAnsi="Arial"/>
          <w:sz w:val="20"/>
        </w:rPr>
        <w:t xml:space="preserve">6.6.3.2 Explainability outputs must be retained as electronic records in accordance with 21 CFR Part 11 and Data Integrity Policy GLBL-POL-00007, and must be accessible to auditors and regulators upon request.</w:t>
      </w:r>
    </w:p>
    <w:p>
      <w:pPr>
        <w:spacing w:before="60" w:after="60"/>
      </w:pPr>
      <w:r>
        <w:rPr>
          <w:rFonts w:ascii="Arial" w:hAnsi="Arial"/>
          <w:sz w:val="20"/>
        </w:rPr>
        <w:t xml:space="preserve">6.6.3.3 For AI systems where full algorithmic explainability is technically infeasible, a documented justification must be approved by the AI Governance Lead and the Quality Assurance (QA) function, and compensating controls must be implemented and recorded.</w:t>
      </w:r>
    </w:p>
    <w:p>
      <w:pPr>
        <w:spacing w:before="60" w:after="60"/>
      </w:pPr>
      <w:r>
        <w:rPr>
          <w:rFonts w:ascii="Arial" w:hAnsi="Arial"/>
          <w:sz w:val="20"/>
        </w:rPr>
        <w:t xml:space="preserve">6.6.3.4 Explainability documentation must be included in the AI system's project file and version-controlled in accordance with the organisation's controlled document management requirements.</w:t>
      </w:r>
    </w:p>
    <w:p>
      <w:pPr>
        <w:spacing w:before="60" w:after="60"/>
      </w:pPr>
      <w:r>
        <w:rPr>
          <w:rFonts w:ascii="Arial" w:hAnsi="Arial"/>
          <w:sz w:val="20"/>
        </w:rPr>
        <w:t xml:space="preserve">6.7 Human Oversight, Accountability, and Decision Authority</w:t>
      </w:r>
    </w:p>
    <w:p>
      <w:pPr>
        <w:spacing w:before="60" w:after="60"/>
      </w:pPr>
      <w:r>
        <w:rPr>
          <w:rFonts w:ascii="Arial" w:hAnsi="Arial"/>
          <w:sz w:val="20"/>
        </w:rPr>
        <w:t xml:space="preserve">Human oversight must be maintained for all AI-assisted and AI-automated decisions within Global Technology operations. The level of oversight required is proportional to the risk classification of the AI system and the regulatory context in which it operates. No AI system may operate as the sole decision-making authority for actions that affect patient safety, data integrity, regulated records, or material financial controls.</w:t>
      </w:r>
    </w:p>
    <w:p>
      <w:pPr>
        <w:spacing w:before="60" w:after="60"/>
      </w:pPr>
      <w:r>
        <w:rPr>
          <w:rFonts w:ascii="Arial" w:hAnsi="Arial"/>
          <w:sz w:val="20"/>
        </w:rPr>
        <w:t xml:space="preserve">6.7.1 Oversight Framework</w:t>
      </w:r>
    </w:p>
    <w:p>
      <w:pPr>
        <w:spacing w:before="60" w:after="60"/>
      </w:pPr>
      <w:r>
        <w:rPr>
          <w:rFonts w:ascii="Arial" w:hAnsi="Arial"/>
          <w:sz w:val="20"/>
        </w:rPr>
        <w:t xml:space="preserve">Each AI system must have a designated AI System Owner who is accountable for the system's performance, compliance, and appropriate use. The following oversight requirements apply to all AI systems:</w:t>
      </w:r>
    </w:p>
    <w:p>
      <w:pPr>
        <w:spacing w:before="60" w:after="60"/>
      </w:pPr>
      <w:r>
        <w:rPr>
          <w:rFonts w:ascii="Arial" w:hAnsi="Arial"/>
          <w:sz w:val="20"/>
        </w:rPr>
        <w:t xml:space="preserve">6.7.1.1 A human-in-the-loop or human-on-the-loop control model must be defined and documented for each AI system during the design phase, specifying the conditions under which human review, intervention, or override is required.</w:t>
      </w:r>
    </w:p>
    <w:p>
      <w:pPr>
        <w:spacing w:before="60" w:after="60"/>
      </w:pPr>
      <w:r>
        <w:rPr>
          <w:rFonts w:ascii="Arial" w:hAnsi="Arial"/>
          <w:sz w:val="20"/>
        </w:rPr>
        <w:t xml:space="preserve">6.7.1.2 For AI systems operating in GxP-regulated environments, all consequential outputs — including recommendations, classifications, and automated actions — must be subject to human review and approval before being acted upon, in accordance with EU GMP Annex 11 requirements for computerised systems.</w:t>
      </w:r>
    </w:p>
    <w:p>
      <w:pPr>
        <w:spacing w:before="60" w:after="60"/>
      </w:pPr>
      <w:r>
        <w:rPr>
          <w:rFonts w:ascii="Arial" w:hAnsi="Arial"/>
          <w:sz w:val="20"/>
        </w:rPr>
        <w:t xml:space="preserve">6.7.1.3 Override and intervention capabilities must be technically implemented and tested as part of the qualification process. Personnel authorised to override AI decisions must be identified, trained, and documented.</w:t>
      </w:r>
    </w:p>
    <w:p>
      <w:pPr>
        <w:spacing w:before="60" w:after="60"/>
      </w:pPr>
      <w:r>
        <w:rPr>
          <w:rFonts w:ascii="Arial" w:hAnsi="Arial"/>
          <w:sz w:val="20"/>
        </w:rPr>
        <w:t xml:space="preserve">6.7.1.4 All human review decisions, overrides, and approvals of AI outputs must be recorded as audit-trail entries in accordance with 21 CFR Part 11 and Data Integrity Policy GLBL-POL-00007.</w:t>
      </w:r>
    </w:p>
    <w:p>
      <w:pPr>
        <w:spacing w:before="60" w:after="60"/>
      </w:pPr>
      <w:r>
        <w:rPr>
          <w:rFonts w:ascii="Arial" w:hAnsi="Arial"/>
          <w:sz w:val="20"/>
        </w:rPr>
        <w:t xml:space="preserve">6.7.2 Accountability Assignment</w:t>
      </w:r>
    </w:p>
    <w:p>
      <w:pPr>
        <w:spacing w:before="60" w:after="60"/>
      </w:pPr>
      <w:r>
        <w:rPr>
          <w:rFonts w:ascii="Arial" w:hAnsi="Arial"/>
          <w:sz w:val="20"/>
        </w:rPr>
        <w:t xml:space="preserve">Accountability for AI system decisions and outcomes must be clearly assigned and documented. The following requirements apply:</w:t>
      </w:r>
    </w:p>
    <w:p>
      <w:pPr>
        <w:spacing w:before="60" w:after="60"/>
      </w:pPr>
      <w:r>
        <w:rPr>
          <w:rFonts w:ascii="Arial" w:hAnsi="Arial"/>
          <w:sz w:val="20"/>
        </w:rPr>
        <w:t xml:space="preserve">6.7.2.1 The AI System Owner is accountable for ensuring that the system operates within its validated scope and that outputs are used appropriately by end users.</w:t>
      </w:r>
    </w:p>
    <w:p>
      <w:pPr>
        <w:spacing w:before="60" w:after="60"/>
      </w:pPr>
      <w:r>
        <w:rPr>
          <w:rFonts w:ascii="Arial" w:hAnsi="Arial"/>
          <w:sz w:val="20"/>
        </w:rPr>
        <w:t xml:space="preserve">6.7.2.2 Business process owners are accountable for decisions made using AI-generated outputs within their operational domain and must not delegate this accountability to the AI system itself.</w:t>
      </w:r>
    </w:p>
    <w:p>
      <w:pPr>
        <w:spacing w:before="60" w:after="60"/>
      </w:pPr>
      <w:r>
        <w:rPr>
          <w:rFonts w:ascii="Arial" w:hAnsi="Arial"/>
          <w:sz w:val="20"/>
        </w:rPr>
        <w:t xml:space="preserve">6.7.2.3 Where AI systems support vendor-supplied technology, vendor accountability must be defined in the vendor agreement and the vendor must be approved in accordance with the Global Vendor Program prior to deployment.</w:t>
      </w:r>
    </w:p>
    <w:p>
      <w:pPr>
        <w:spacing w:before="60" w:after="60"/>
      </w:pPr>
      <w:r>
        <w:rPr>
          <w:rFonts w:ascii="Arial" w:hAnsi="Arial"/>
          <w:sz w:val="20"/>
        </w:rPr>
        <w:t xml:space="preserve">6.7.2.4 Accountability assignments must be reviewed annually and updated following any change in system ownership, organisational structure, or system scope.</w:t>
      </w:r>
    </w:p>
    <w:p>
      <w:pPr>
        <w:spacing w:before="60" w:after="60"/>
      </w:pPr>
      <w:r>
        <w:rPr>
          <w:rFonts w:ascii="Arial" w:hAnsi="Arial"/>
          <w:sz w:val="20"/>
        </w:rPr>
        <w:t xml:space="preserve">6.7.3 Decision Authority Boundaries</w:t>
      </w:r>
    </w:p>
    <w:p>
      <w:pPr>
        <w:spacing w:before="60" w:after="60"/>
      </w:pPr>
      <w:r>
        <w:rPr>
          <w:rFonts w:ascii="Arial" w:hAnsi="Arial"/>
          <w:sz w:val="20"/>
        </w:rPr>
        <w:t xml:space="preserve">Decision authority boundaries must be established and enforced for every AI system. These boundaries define the categories of decisions the AI system may make autonomously, those requiring human confirmation, and those prohibited from AI involvement entirely.</w:t>
      </w:r>
    </w:p>
    <w:p>
      <w:pPr>
        <w:spacing w:before="60" w:after="60"/>
      </w:pPr>
      <w:r>
        <w:rPr>
          <w:rFonts w:ascii="Arial" w:hAnsi="Arial"/>
          <w:sz w:val="20"/>
        </w:rPr>
        <w:t xml:space="preserve">6.7.3.1 Decision authority boundaries must be documented in the AI system's design specification and validated as part of the qualification process.</w:t>
      </w:r>
    </w:p>
    <w:p>
      <w:pPr>
        <w:spacing w:before="60" w:after="60"/>
      </w:pPr>
      <w:r>
        <w:rPr>
          <w:rFonts w:ascii="Arial" w:hAnsi="Arial"/>
          <w:sz w:val="20"/>
        </w:rPr>
        <w:t xml:space="preserve">6.7.3.2 Any proposed expansion of an AI system's decision authority must be treated as a significant change and processed through the Change Management Process GIT-SOP-00001, including a requalification scope assessment.</w:t>
      </w:r>
    </w:p>
    <w:p>
      <w:pPr>
        <w:spacing w:before="60" w:after="60"/>
      </w:pPr>
      <w:r>
        <w:rPr>
          <w:rFonts w:ascii="Arial" w:hAnsi="Arial"/>
          <w:sz w:val="20"/>
        </w:rPr>
        <w:t xml:space="preserve">6.7.3.3 Access control mechanisms must enforce decision authority boundaries at the system level, managed and monitored in accordance with GLBL-SOP-00080 and consistent with ISO/IEC 27001:2022 access control requirements.</w:t>
      </w:r>
    </w:p>
    <w:p>
      <w:pPr>
        <w:spacing w:before="60" w:after="60"/>
      </w:pPr>
      <w:r>
        <w:rPr>
          <w:rFonts w:ascii="Arial" w:hAnsi="Arial"/>
          <w:sz w:val="20"/>
        </w:rPr>
        <w:t xml:space="preserve">6.8 Incident Reporting and AI-Related Deviation Management</w:t>
      </w:r>
    </w:p>
    <w:p>
      <w:pPr>
        <w:spacing w:before="60" w:after="60"/>
      </w:pPr>
      <w:r>
        <w:rPr>
          <w:rFonts w:ascii="Arial" w:hAnsi="Arial"/>
          <w:sz w:val="20"/>
        </w:rPr>
        <w:t xml:space="preserve">All incidents, anomalies, and deviations involving AI systems must be identified, reported, classified, investigated, and resolved through a structured deviation management process. This process must align with GxP requirements, GAMP 5 (Second Edition, 2022) guidance on computerised system incidents, and the organisation's quality management framework.</w:t>
      </w:r>
    </w:p>
    <w:p>
      <w:pPr>
        <w:spacing w:before="60" w:after="60"/>
      </w:pPr>
      <w:r>
        <w:rPr>
          <w:rFonts w:ascii="Arial" w:hAnsi="Arial"/>
          <w:sz w:val="20"/>
        </w:rPr>
        <w:t xml:space="preserve">6.8.1 Incident Identification and Initial Reporting</w:t>
      </w:r>
    </w:p>
    <w:p>
      <w:pPr>
        <w:spacing w:before="60" w:after="60"/>
      </w:pPr>
      <w:r>
        <w:rPr>
          <w:rFonts w:ascii="Arial" w:hAnsi="Arial"/>
          <w:sz w:val="20"/>
        </w:rPr>
        <w:t xml:space="preserve">Any personnel who identifies an AI system incident, unexpected output, performance anomaly, bias event, security breach, or data integrity concern must report it immediately through the designated incident reporting channel. The following requirements apply:</w:t>
      </w:r>
    </w:p>
    <w:p>
      <w:pPr>
        <w:spacing w:before="60" w:after="60"/>
      </w:pPr>
      <w:r>
        <w:rPr>
          <w:rFonts w:ascii="Arial" w:hAnsi="Arial"/>
          <w:sz w:val="20"/>
        </w:rPr>
        <w:t xml:space="preserve">6.8.1.1 Incidents must be logged in the organisation's incident management system within one business day of identification, capturing the date, time, system affected, description of the event, and the identity of the reporting individual.</w:t>
      </w:r>
    </w:p>
    <w:p>
      <w:pPr>
        <w:spacing w:before="60" w:after="60"/>
      </w:pPr>
      <w:r>
        <w:rPr>
          <w:rFonts w:ascii="Arial" w:hAnsi="Arial"/>
          <w:sz w:val="20"/>
        </w:rPr>
        <w:t xml:space="preserve">6.8.1.2 Cybersecurity incidents involving AI systems must be escalated immediately to the Information Security team in accordance with the organisation's cybersecurity incident response procedure and ISO/IEC 27001:2022 requirements. Containment actions must be initiated without delay.</w:t>
      </w:r>
    </w:p>
    <w:p>
      <w:pPr>
        <w:spacing w:before="60" w:after="60"/>
      </w:pPr>
      <w:r>
        <w:rPr>
          <w:rFonts w:ascii="Arial" w:hAnsi="Arial"/>
          <w:sz w:val="20"/>
        </w:rPr>
        <w:t xml:space="preserve">6.8.1.3 Incidents affecting GxP-regulated operations, patient safety, or data integrity must be escalated to the QA function and the AI Governance Lead within four business hours of identification.</w:t>
      </w:r>
    </w:p>
    <w:p>
      <w:pPr>
        <w:spacing w:before="60" w:after="60"/>
      </w:pPr>
      <w:r>
        <w:rPr>
          <w:rFonts w:ascii="Arial" w:hAnsi="Arial"/>
          <w:sz w:val="20"/>
        </w:rPr>
        <w:t xml:space="preserve">6.8.2 Deviation Classification</w:t>
      </w:r>
    </w:p>
    <w:p>
      <w:pPr>
        <w:spacing w:before="60" w:after="60"/>
      </w:pPr>
      <w:r>
        <w:rPr>
          <w:rFonts w:ascii="Arial" w:hAnsi="Arial"/>
          <w:sz w:val="20"/>
        </w:rPr>
        <w:t xml:space="preserve">All AI-related deviations must be classified by the QA function in collaboration with the AI System Owner according to the following criteria:</w:t>
      </w:r>
    </w:p>
    <w:p>
      <w:pPr>
        <w:spacing w:before="60" w:after="60"/>
      </w:pPr>
      <w:r>
        <w:rPr>
          <w:rFonts w:ascii="Arial" w:hAnsi="Arial"/>
          <w:sz w:val="20"/>
        </w:rPr>
        <w:t xml:space="preserve">6.8.2.1 Critical deviation: An event that has caused or has the potential to cause direct harm to patient safety, a significant breach of data integrity as defined in GLBL-POL-00007, a material misstatement in SOX-applicable financial records, or a regulatory compliance failure. Critical deviations require immediate escalation and suspension of the affected AI system pending investigation.</w:t>
      </w:r>
    </w:p>
    <w:p>
      <w:pPr>
        <w:spacing w:before="60" w:after="60"/>
      </w:pPr>
      <w:r>
        <w:rPr>
          <w:rFonts w:ascii="Arial" w:hAnsi="Arial"/>
          <w:sz w:val="20"/>
        </w:rPr>
        <w:t xml:space="preserve">6.8.2.2 Major deviation: An event that represents a significant departure from the validated state, approved design, or intended use of the AI system, or that has caused a material error in a regulated process output, but does not meet the threshold for critical classification. Major deviations require prompt investigation and must not be closed without QA approval.</w:t>
      </w:r>
    </w:p>
    <w:p>
      <w:pPr>
        <w:spacing w:before="60" w:after="60"/>
      </w:pPr>
      <w:r>
        <w:rPr>
          <w:rFonts w:ascii="Arial" w:hAnsi="Arial"/>
          <w:sz w:val="20"/>
        </w:rPr>
        <w:t xml:space="preserve">6.8.2.3 Minor deviation: An event that represents a low-risk departure from expected behaviour with no direct impact on regulated outputs, patient safety, or data integrity. Minor deviations must be documented and trended to identify systemic issues.</w:t>
      </w:r>
    </w:p>
    <w:p>
      <w:pPr>
        <w:spacing w:before="60" w:after="60"/>
      </w:pPr>
      <w:r>
        <w:rPr>
          <w:rFonts w:ascii="Arial" w:hAnsi="Arial"/>
          <w:sz w:val="20"/>
        </w:rPr>
        <w:t xml:space="preserve">6.8.3 Investigation, Root Cause Analysis, and Corrective Action</w:t>
      </w:r>
    </w:p>
    <w:p>
      <w:pPr>
        <w:spacing w:before="60" w:after="60"/>
      </w:pPr>
      <w:r>
        <w:rPr>
          <w:rFonts w:ascii="Arial" w:hAnsi="Arial"/>
          <w:sz w:val="20"/>
        </w:rPr>
        <w:t xml:space="preserve">A formal investigation must be conducted for all critical and major deviations, and for minor deviations where trending indicates a systemic pattern. The investigation must:</w:t>
      </w:r>
    </w:p>
    <w:p>
      <w:pPr>
        <w:spacing w:before="60" w:after="60"/>
      </w:pPr>
      <w:r>
        <w:rPr>
          <w:rFonts w:ascii="Arial" w:hAnsi="Arial"/>
          <w:sz w:val="20"/>
        </w:rPr>
        <w:t xml:space="preserve">6.8.3.1 Include a documented root cause analysis using a structured methodology (e.g., fishbone diagram, five-whys, or fault tree analysis) appropriate to the complexity of the deviation.</w:t>
      </w:r>
    </w:p>
    <w:p>
      <w:pPr>
        <w:spacing w:before="60" w:after="60"/>
      </w:pPr>
      <w:r>
        <w:rPr>
          <w:rFonts w:ascii="Arial" w:hAnsi="Arial"/>
          <w:sz w:val="20"/>
        </w:rPr>
        <w:t xml:space="preserve">6.8.3.2 Assess the impact of the deviation on all affected regulated records, processes, and downstream systems before the AI system is returned to operation.</w:t>
      </w:r>
    </w:p>
    <w:p>
      <w:pPr>
        <w:spacing w:before="60" w:after="60"/>
      </w:pPr>
      <w:r>
        <w:rPr>
          <w:rFonts w:ascii="Arial" w:hAnsi="Arial"/>
          <w:sz w:val="20"/>
        </w:rPr>
        <w:t xml:space="preserve">6.8.3.3 Result in a documented Corrective and Preventive Action (CAPA) plan where root cause has been identified. The CAPA plan must be reviewed and approved by QA prior to implementation.</w:t>
      </w:r>
    </w:p>
    <w:p>
      <w:pPr>
        <w:spacing w:before="60" w:after="60"/>
      </w:pPr>
      <w:r>
        <w:rPr>
          <w:rFonts w:ascii="Arial" w:hAnsi="Arial"/>
          <w:sz w:val="20"/>
        </w:rPr>
        <w:t xml:space="preserve">6.8.3.4 Be completed within the timeframes defined by the organisation's deviation management SOP, with QA review and formal closure sign-off required for all critical and major deviations.</w:t>
      </w:r>
    </w:p>
    <w:p>
      <w:pPr>
        <w:spacing w:before="60" w:after="60"/>
      </w:pPr>
      <w:r>
        <w:rPr>
          <w:rFonts w:ascii="Arial" w:hAnsi="Arial"/>
          <w:sz w:val="20"/>
        </w:rPr>
        <w:t xml:space="preserve">6.8.3.5 All deviation records, investigation reports, and CAPA documentation must be retained as controlled electronic records in accordance with 21 CFR Part 11 and Data Integrity Policy GLBL-POL-00007.</w:t>
      </w:r>
    </w:p>
    <w:p>
      <w:pPr>
        <w:spacing w:before="60" w:after="60"/>
      </w:pPr>
      <w:r>
        <w:rPr>
          <w:rFonts w:ascii="Arial" w:hAnsi="Arial"/>
          <w:sz w:val="20"/>
        </w:rPr>
        <w:t xml:space="preserve">6.8.4 Emergency Shutdown and Escalation</w:t>
      </w:r>
    </w:p>
    <w:p>
      <w:pPr>
        <w:spacing w:before="60" w:after="60"/>
      </w:pPr>
      <w:r>
        <w:rPr>
          <w:rFonts w:ascii="Arial" w:hAnsi="Arial"/>
          <w:sz w:val="20"/>
        </w:rPr>
        <w:t xml:space="preserve">Where an AI system poses an immediate risk to patient safety, data integrity, or critical infrastructure, the AI System Owner or any authorised personnel must initiate an emergency shutdown of the affected system. The following steps must be followed:</w:t>
      </w:r>
    </w:p>
    <w:p>
      <w:pPr>
        <w:spacing w:before="60" w:after="60"/>
      </w:pPr>
      <w:r>
        <w:rPr>
          <w:rFonts w:ascii="Arial" w:hAnsi="Arial"/>
          <w:sz w:val="20"/>
        </w:rPr>
        <w:t xml:space="preserve">6.8.4.1 Notify the AI Governance Lead, QA, and Information Security immediately upon initiating an emergency shutdown, providing a brief description of the triggering event.</w:t>
      </w:r>
    </w:p>
    <w:p>
      <w:pPr>
        <w:spacing w:before="60" w:after="60"/>
      </w:pPr>
      <w:r>
        <w:rPr>
          <w:rFonts w:ascii="Arial" w:hAnsi="Arial"/>
          <w:sz w:val="20"/>
        </w:rPr>
        <w:t xml:space="preserve">6.8.4.2 Preserve all system logs, audit trails, and output records in their current state to support subsequent investigation. No logs or records may be altered or deleted.</w:t>
      </w:r>
    </w:p>
    <w:p>
      <w:pPr>
        <w:spacing w:before="60" w:after="60"/>
      </w:pPr>
      <w:r>
        <w:rPr>
          <w:rFonts w:ascii="Arial" w:hAnsi="Arial"/>
          <w:sz w:val="20"/>
        </w:rPr>
        <w:t xml:space="preserve">6.8.4.3 Document the shutdown event as a critical deviation per section 6.8.2 and initiate the investigation process per section 6.8.3 without delay.</w:t>
      </w:r>
    </w:p>
    <w:p>
      <w:pPr>
        <w:spacing w:before="60" w:after="60"/>
      </w:pPr>
      <w:r>
        <w:rPr>
          <w:rFonts w:ascii="Arial" w:hAnsi="Arial"/>
          <w:sz w:val="20"/>
        </w:rPr>
        <w:t xml:space="preserve">6.8.4.4 The AI system must not be returned to operation until a formal impact assessment has been completed, root cause has been identified or a documented interim justification approved by QA is in place, and all required corrective actions have been implemented and verified.</w:t>
      </w:r>
    </w:p>
    <w:p>
      <w:pPr>
        <w:spacing w:before="60" w:after="60"/>
      </w:pPr>
      <w:r>
        <w:rPr>
          <w:rFonts w:ascii="Arial" w:hAnsi="Arial"/>
          <w:sz w:val="20"/>
        </w:rPr>
        <w:t xml:space="preserve">6.9 Continuous Monitoring, Auditing, and Performance Review</w:t>
      </w:r>
    </w:p>
    <w:p>
      <w:pPr>
        <w:spacing w:before="60" w:after="60"/>
      </w:pPr>
      <w:r>
        <w:rPr>
          <w:rFonts w:ascii="Arial" w:hAnsi="Arial"/>
          <w:sz w:val="20"/>
        </w:rPr>
        <w:t xml:space="preserve">All AI systems in production must be subject to continuous monitoring, periodic auditing, and formal performance review to ensure sustained compliance, validated performance, and alignment with intended use. Monitoring activities must be consistent with EU GMP Annex 11 requirements for periodic evaluation of computerised systems and with ISO/IEC 27001:2022 operational monitoring controls.</w:t>
      </w:r>
    </w:p>
    <w:p>
      <w:pPr>
        <w:spacing w:before="60" w:after="60"/>
      </w:pPr>
      <w:r>
        <w:rPr>
          <w:rFonts w:ascii="Arial" w:hAnsi="Arial"/>
          <w:sz w:val="20"/>
        </w:rPr>
        <w:t xml:space="preserve">6.9.1 Continuous Monitoring Requirements</w:t>
      </w:r>
    </w:p>
    <w:p>
      <w:pPr>
        <w:spacing w:before="60" w:after="60"/>
      </w:pPr>
      <w:r>
        <w:rPr>
          <w:rFonts w:ascii="Arial" w:hAnsi="Arial"/>
          <w:sz w:val="20"/>
        </w:rPr>
        <w:t xml:space="preserve">Continuous monitoring must be implemented for all AI systems from the point of production deployment. Monitoring must cover the following dimensions:</w:t>
      </w:r>
    </w:p>
    <w:p>
      <w:pPr>
        <w:spacing w:before="60" w:after="60"/>
      </w:pPr>
      <w:r>
        <w:rPr>
          <w:rFonts w:ascii="Arial" w:hAnsi="Arial"/>
          <w:sz w:val="20"/>
        </w:rPr>
        <w:t xml:space="preserve">6.9.1.1 Model performance metrics: accuracy, precision, recall, F1 score, or domain-specific performance indicators as defined in the system's qualification documentation. Alerts must be configured to trigger when metrics fall below defined thresholds.</w:t>
      </w:r>
    </w:p>
    <w:p>
      <w:pPr>
        <w:spacing w:before="60" w:after="60"/>
      </w:pPr>
      <w:r>
        <w:rPr>
          <w:rFonts w:ascii="Arial" w:hAnsi="Arial"/>
          <w:sz w:val="20"/>
        </w:rPr>
        <w:t xml:space="preserve">6.9.1.2 Data drift and concept drift: statistical monitoring of input data distributions and output prediction distributions to detect deviations from the training baseline. Drift detection results must be logged and reviewed at defined intervals.</w:t>
      </w:r>
    </w:p>
    <w:p>
      <w:pPr>
        <w:spacing w:before="60" w:after="60"/>
      </w:pPr>
      <w:r>
        <w:rPr>
          <w:rFonts w:ascii="Arial" w:hAnsi="Arial"/>
          <w:sz w:val="20"/>
        </w:rPr>
        <w:t xml:space="preserve">6.9.1.3 System availability, response time, and error rates: infrastructure-level monitoring consistent with ITIL 4 service management practices, with incidents raised and managed per section 6.8.</w:t>
      </w:r>
    </w:p>
    <w:p>
      <w:pPr>
        <w:spacing w:before="60" w:after="60"/>
      </w:pPr>
      <w:r>
        <w:rPr>
          <w:rFonts w:ascii="Arial" w:hAnsi="Arial"/>
          <w:sz w:val="20"/>
        </w:rPr>
        <w:t xml:space="preserve">6.9.1.4 Access and usage monitoring: all access to AI systems and their outputs must be logged and monitored in accordance with GLBL-SOP-00080 and ISO/IEC 27001:2022 access control and logging requirements.</w:t>
      </w:r>
    </w:p>
    <w:p>
      <w:pPr>
        <w:spacing w:before="60" w:after="60"/>
      </w:pPr>
      <w:r>
        <w:rPr>
          <w:rFonts w:ascii="Arial" w:hAnsi="Arial"/>
          <w:sz w:val="20"/>
        </w:rPr>
        <w:t xml:space="preserve">6.9.1.5 All monitoring configurations, alert thresholds, and monitoring records must be maintained in the AI system's Configuration Management Database (CMDB) entry and in</w:t>
      </w:r>
    </w:p>
    <w:p>
      <w:pPr>
        <w:spacing w:before="60" w:after="60"/>
      </w:pPr>
      <w:r>
        <w:rPr>
          <w:rFonts w:ascii="Arial" w:hAnsi="Arial"/>
          <w:sz w:val="20"/>
        </w:rPr>
        <w:t xml:space="preserve">7.0 REFERENCES</w:t>
      </w:r>
    </w:p>
    <w:p>
      <w:pPr>
        <w:spacing w:before="60" w:after="60"/>
      </w:pPr>
      <w:r>
        <w:rPr>
          <w:rFonts w:ascii="Arial" w:hAnsi="Arial"/>
          <w:sz w:val="20"/>
        </w:rPr>
        <w:t xml:space="preserve">The following regulatory standards, internal policies, and procedural documents govern the requirements established in this Standard Operating Procedure. All personnel responsible for the development, deployment, validation, and oversight of AI systems in regulated and non-regulated environments must be familiar with and adhere to the applicable references listed below. Where internal policy documents are referenced, the most current approved version in the document management system shall apply.</w:t>
      </w:r>
    </w:p>
    <w:p>
      <w:pPr>
        <w:spacing w:before="60" w:after="60"/>
      </w:pPr>
      <w:r>
        <w:rPr>
          <w:rFonts w:ascii="Arial" w:hAnsi="Arial"/>
          <w:sz w:val="20"/>
        </w:rPr>
        <w:t xml:space="preserve">Regulatory Standards and Industry Guidelines:</w:t>
      </w:r>
    </w:p>
    <w:p>
      <w:pPr>
        <w:spacing w:before="60" w:after="60"/>
      </w:pPr>
      <w:r>
        <w:rPr>
          <w:rFonts w:ascii="Arial" w:hAnsi="Arial"/>
          <w:sz w:val="20"/>
        </w:rPr>
        <w:t xml:space="preserve">21 CFR Part 11 — Electronic Records; Electronic Signatures (U.S. Food and Drug Administration). Governs the use of electronic records and electronic signatures for all AI-generated outputs and audit trail data in GxP-regulated environments.</w:t>
      </w:r>
    </w:p>
    <w:p>
      <w:pPr>
        <w:spacing w:before="60" w:after="60"/>
      </w:pPr>
      <w:r>
        <w:rPr>
          <w:rFonts w:ascii="Arial" w:hAnsi="Arial"/>
          <w:sz w:val="20"/>
        </w:rPr>
        <w:t xml:space="preserve">EU GMP Annex 11 — Computerised Systems (European Medicines Agency). Establishes requirements for the validation, operation, and control of computerised systems, including AI tools used in GxP operations.</w:t>
      </w:r>
    </w:p>
    <w:p>
      <w:pPr>
        <w:spacing w:before="60" w:after="60"/>
      </w:pPr>
      <w:r>
        <w:rPr>
          <w:rFonts w:ascii="Arial" w:hAnsi="Arial"/>
          <w:sz w:val="20"/>
        </w:rPr>
        <w:t xml:space="preserve">GAMP 5: A Risk-Based Approach to Compliant GxP Computerised Systems (Second Edition, 2022) (ISPE). Provides the risk-based framework for software categorisation, validation planning, and lifecycle management of AI systems operating in GxP environments.</w:t>
      </w:r>
    </w:p>
    <w:p>
      <w:pPr>
        <w:spacing w:before="60" w:after="60"/>
      </w:pPr>
      <w:r>
        <w:rPr>
          <w:rFonts w:ascii="Arial" w:hAnsi="Arial"/>
          <w:sz w:val="20"/>
        </w:rPr>
        <w:t xml:space="preserve">ISO/IEC 27001:2022 — Information Security Management Systems. Defines requirements for establishing, implementing, maintaining, and continually improving information security controls applicable to AI system infrastructure and data handling.</w:t>
      </w:r>
    </w:p>
    <w:p>
      <w:pPr>
        <w:spacing w:before="60" w:after="60"/>
      </w:pPr>
      <w:r>
        <w:rPr>
          <w:rFonts w:ascii="Arial" w:hAnsi="Arial"/>
          <w:sz w:val="20"/>
        </w:rPr>
        <w:t xml:space="preserve">ITIL 4 — IT Service Management Framework. Provides best-practice guidance for IT service delivery, change management, incident management, and continual service improvement as applied to AI system operations.</w:t>
      </w:r>
    </w:p>
    <w:p>
      <w:pPr>
        <w:spacing w:before="60" w:after="60"/>
      </w:pPr>
      <w:r>
        <w:rPr>
          <w:rFonts w:ascii="Arial" w:hAnsi="Arial"/>
          <w:sz w:val="20"/>
        </w:rPr>
        <w:t xml:space="preserve">Sarbanes-Oxley Act (SOX) — Sections 302 and 404. Applies to AI systems supporting financial operations, including SAP and other applicable enterprise applications, with respect to internal controls over financial reporting.</w:t>
      </w:r>
    </w:p>
    <w:p>
      <w:pPr>
        <w:spacing w:before="60" w:after="60"/>
      </w:pPr>
      <w:r>
        <w:rPr>
          <w:rFonts w:ascii="Arial" w:hAnsi="Arial"/>
          <w:sz w:val="20"/>
        </w:rPr>
        <w:t xml:space="preserve">NIST AI Risk Management Framework (AI RMF 1.0) — National Institute of Standards and Technology. Provides a structured approach to identifying, assessing, and managing risks associated with the design, development, and deployment of AI systems.</w:t>
      </w:r>
    </w:p>
    <w:p>
      <w:pPr>
        <w:spacing w:before="60" w:after="60"/>
      </w:pPr>
      <w:r>
        <w:rPr>
          <w:rFonts w:ascii="Arial" w:hAnsi="Arial"/>
          <w:sz w:val="20"/>
        </w:rPr>
        <w:t xml:space="preserve">EU Artificial Intelligence Act (Regulation (EU) 2024/1689). Establishes a risk-based regulatory framework for AI systems deployed within the European Union, including requirements for high-risk AI applications in life sciences and regulated industries.</w:t>
      </w:r>
    </w:p>
    <w:p>
      <w:pPr>
        <w:spacing w:before="60" w:after="60"/>
      </w:pPr>
      <w:r>
        <w:rPr>
          <w:rFonts w:ascii="Arial" w:hAnsi="Arial"/>
          <w:sz w:val="20"/>
        </w:rPr>
        <w:t xml:space="preserve">Internal Policies and Procedures:</w:t>
      </w:r>
    </w:p>
    <w:p>
      <w:pPr>
        <w:spacing w:before="60" w:after="60"/>
      </w:pPr>
      <w:r>
        <w:rPr>
          <w:rFonts w:ascii="Arial" w:hAnsi="Arial"/>
          <w:sz w:val="20"/>
        </w:rPr>
        <w:t xml:space="preserve">GLBL-POL-00007 — Data Integrity Policy. Mandates data integrity requirements for all electronic records managed by or generated through AI systems in regulated contexts.</w:t>
      </w:r>
    </w:p>
    <w:p>
      <w:pPr>
        <w:spacing w:before="60" w:after="60"/>
      </w:pPr>
      <w:r>
        <w:rPr>
          <w:rFonts w:ascii="Arial" w:hAnsi="Arial"/>
          <w:sz w:val="20"/>
        </w:rPr>
        <w:t xml:space="preserve">GLBL-POL-00050 — Secure Destruction of Confidential Documents. Applies to the secure disposal of AI-generated confidential outputs and associated records.</w:t>
      </w:r>
    </w:p>
    <w:p>
      <w:pPr>
        <w:spacing w:before="60" w:after="60"/>
      </w:pPr>
      <w:r>
        <w:rPr>
          <w:rFonts w:ascii="Arial" w:hAnsi="Arial"/>
          <w:sz w:val="20"/>
        </w:rPr>
        <w:t xml:space="preserve">GLBL-POL-00078 — Retention, Transfer or Disposal of GxP Regulated Materials. Governs the lifecycle management of data outputs from AI systems used in regulated operations.</w:t>
      </w:r>
    </w:p>
    <w:p>
      <w:pPr>
        <w:spacing w:before="60" w:after="60"/>
      </w:pPr>
      <w:r>
        <w:rPr>
          <w:rFonts w:ascii="Arial" w:hAnsi="Arial"/>
          <w:sz w:val="20"/>
        </w:rPr>
        <w:t xml:space="preserve">GIT-SOP-00001 — Change Management Process (RFC Process). Defines the formal change control process that must be followed for all changes to AI system configurations, models, and supporting infrastructure prior to deployment.</w:t>
      </w:r>
    </w:p>
    <w:p>
      <w:pPr>
        <w:spacing w:before="60" w:after="60"/>
      </w:pPr>
      <w:r>
        <w:rPr>
          <w:rFonts w:ascii="Arial" w:hAnsi="Arial"/>
          <w:sz w:val="20"/>
        </w:rPr>
        <w:t xml:space="preserve">GLBL-SOP-00080 — Access Control SOP. Establishes requirements for the management, control, and monitoring of access to AI systems and associated data assets.</w:t>
      </w:r>
    </w:p>
    <w:p>
      <w:pPr>
        <w:spacing w:before="60" w:after="60"/>
      </w:pPr>
      <w:r>
        <w:rPr>
          <w:rFonts w:ascii="Arial" w:hAnsi="Arial"/>
          <w:sz w:val="20"/>
        </w:rPr>
        <w:t xml:space="preserve">Global Vendor Program — Vendor Approval Policy. Requires that all vendors and vendor-supplied AI technologies receive formal approval prior to use in any organisational or regulated context.</w:t>
      </w:r>
    </w:p>
    <w:p>
      <w:pPr>
        <w:spacing w:before="60" w:after="60"/>
      </w:pPr>
      <w:r>
        <w:rPr>
          <w:rFonts w:ascii="Arial" w:hAnsi="Arial"/>
          <w:sz w:val="20"/>
        </w:rPr>
        <w:t xml:space="preserve">Applicable AI System Qualification and Validation SOPs — All AI systems supporting regulated operations must be qualified and maintained in a validated state in accordance with the organisation's current qualification and validation SOPs, as aligned with GAMP 5 (Second Edition, 2022) and EU GMP Annex 11.</w:t>
      </w:r>
    </w:p>
    <w:p>
      <w:pPr>
        <w:spacing w:before="60" w:after="60"/>
      </w:pPr>
      <w:r>
        <w:rPr>
          <w:rFonts w:ascii="Arial" w:hAnsi="Arial"/>
          <w:sz w:val="20"/>
        </w:rPr>
        <w:t xml:space="preserve">8.0 REVISION HISTORY</w:t>
      </w:r>
    </w:p>
    <w:tbl>
      <w:tblPr>
        <w:tblW w:type="dxa" w:w="936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tcPr>
          <w:p>
            <w:pPr>
              <w:spacing w:before="40" w:after="40"/>
            </w:pPr>
            <w:r>
              <w:rPr>
                <w:rFonts w:ascii="Arial" w:hAnsi="Arial"/>
                <w:b/>
                <w:sz w:val="18"/>
              </w:rPr>
              <w:t xml:space="preserve">Revision</w:t>
            </w:r>
          </w:p>
        </w:tc>
        <w:tc>
          <w:tcPr>
            <w:tcW w:type="dxa" w:w="3120"/>
          </w:tcPr>
          <w:p>
            <w:pPr>
              <w:spacing w:before="40" w:after="40"/>
            </w:pPr>
            <w:r>
              <w:rPr>
                <w:rFonts w:ascii="Arial" w:hAnsi="Arial"/>
                <w:b/>
                <w:sz w:val="18"/>
              </w:rPr>
              <w:t xml:space="preserve">Effective Date</w:t>
            </w:r>
          </w:p>
        </w:tc>
        <w:tc>
          <w:tcPr>
            <w:tcW w:type="dxa" w:w="3120"/>
          </w:tcPr>
          <w:p>
            <w:pPr>
              <w:spacing w:before="40" w:after="40"/>
            </w:pPr>
            <w:r>
              <w:rPr>
                <w:rFonts w:ascii="Arial" w:hAnsi="Arial"/>
                <w:b/>
                <w:sz w:val="18"/>
              </w:rPr>
              <w:t xml:space="preserve">Reason for Revision</w:t>
            </w:r>
          </w:p>
        </w:tc>
      </w:tr>
      <w:tr>
        <w:tc>
          <w:tcPr>
            <w:tcW w:type="dxa" w:w="3120"/>
          </w:tcPr>
          <w:p>
            <w:pPr>
              <w:spacing w:before="40" w:after="40"/>
            </w:pPr>
            <w:r>
              <w:rPr>
                <w:rFonts w:ascii="Arial" w:hAnsi="Arial"/>
                <w:sz w:val="18"/>
              </w:rPr>
              <w:t xml:space="preserve">1.0</w:t>
            </w:r>
          </w:p>
        </w:tc>
        <w:tc>
          <w:tcPr>
            <w:tcW w:type="dxa" w:w="3120"/>
          </w:tcPr>
          <w:p>
            <w:pPr>
              <w:spacing w:before="40" w:after="40"/>
            </w:pPr>
            <w:r>
              <w:rPr>
                <w:rFonts w:ascii="Arial" w:hAnsi="Arial"/>
                <w:sz w:val="18"/>
              </w:rPr>
              <w:t xml:space="preserve">EFFECTIVE_DATE</w:t>
            </w:r>
          </w:p>
        </w:tc>
        <w:tc>
          <w:tcPr>
            <w:tcW w:type="dxa" w:w="3120"/>
          </w:tcPr>
          <w:p>
            <w:pPr>
              <w:spacing w:before="40" w:after="40"/>
            </w:pPr>
            <w:r>
              <w:rPr>
                <w:rFonts w:ascii="Arial" w:hAnsi="Arial"/>
                <w:sz w:val="18"/>
              </w:rPr>
              <w:t xml:space="preserve">Initial release of the Standard Operating Procedure for Responsible AI Use in Global Technology. Establishes requirements for GxP-aligned AI governance, risk-based qualification, access control, change management, data integrity, and vendor approval in life sciences and regulated IT environments.</w:t>
            </w:r>
          </w:p>
        </w:tc>
      </w:tr>
    </w:tbl>
    <w:p>
      <w:pPr>
        <w:spacing w:before="60" w:after="60"/>
      </w:pPr>
      <w:r>
        <w:rPr>
          <w:rFonts w:ascii="Arial" w:hAnsi="Arial"/>
          <w:sz w:val="20"/>
        </w:rPr>
        <w:t xml:space="preserve">---</w:t>
      </w:r>
    </w:p>
    <w:tbl>
      <w:tblPr>
        <w:tblW w:type="dxa" w:w="936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tcPr>
          <w:p>
            <w:pPr>
              <w:spacing w:before="40" w:after="40"/>
            </w:pPr>
            <w:r>
              <w:rPr>
                <w:rFonts w:ascii="Arial" w:hAnsi="Arial"/>
                <w:b/>
                <w:sz w:val="18"/>
              </w:rPr>
              <w:t xml:space="preserve">Field</w:t>
            </w:r>
          </w:p>
        </w:tc>
        <w:tc>
          <w:tcPr>
            <w:tcW w:type="dxa" w:w="4680"/>
          </w:tcPr>
          <w:p>
            <w:pPr>
              <w:spacing w:before="40" w:after="40"/>
            </w:pPr>
            <w:r>
              <w:rPr>
                <w:rFonts w:ascii="Arial" w:hAnsi="Arial"/>
                <w:b/>
                <w:sz w:val="18"/>
              </w:rPr>
              <w:t xml:space="preserve">Value</w:t>
            </w:r>
          </w:p>
        </w:tc>
      </w:tr>
      <w:tr>
        <w:tc>
          <w:tcPr>
            <w:tcW w:type="dxa" w:w="4680"/>
          </w:tcPr>
          <w:p>
            <w:pPr>
              <w:spacing w:before="40" w:after="40"/>
            </w:pPr>
            <w:r>
              <w:rPr>
                <w:rFonts w:ascii="Arial" w:hAnsi="Arial"/>
                <w:sz w:val="18"/>
              </w:rPr>
              <w:t xml:space="preserve">Document ID</w:t>
            </w:r>
          </w:p>
        </w:tc>
        <w:tc>
          <w:tcPr>
            <w:tcW w:type="dxa" w:w="4680"/>
          </w:tcPr>
          <w:p>
            <w:pPr>
              <w:spacing w:before="40" w:after="40"/>
            </w:pPr>
            <w:r>
              <w:rPr>
                <w:rFonts w:ascii="Arial" w:hAnsi="Arial"/>
                <w:sz w:val="18"/>
              </w:rPr>
              <w:t xml:space="preserve">SOP-20260416-1058</w:t>
            </w:r>
          </w:p>
        </w:tc>
      </w:tr>
      <w:tr>
        <w:tc>
          <w:tcPr>
            <w:tcW w:type="dxa" w:w="4680"/>
          </w:tcPr>
          <w:p>
            <w:pPr>
              <w:spacing w:before="40" w:after="40"/>
            </w:pPr>
            <w:r>
              <w:rPr>
                <w:rFonts w:ascii="Arial" w:hAnsi="Arial"/>
                <w:sz w:val="18"/>
              </w:rPr>
              <w:t xml:space="preserve">Version</w:t>
            </w:r>
          </w:p>
        </w:tc>
        <w:tc>
          <w:tcPr>
            <w:tcW w:type="dxa" w:w="4680"/>
          </w:tcPr>
          <w:p>
            <w:pPr>
              <w:spacing w:before="40" w:after="40"/>
            </w:pPr>
            <w:r>
              <w:rPr>
                <w:rFonts w:ascii="Arial" w:hAnsi="Arial"/>
                <w:sz w:val="18"/>
              </w:rPr>
              <w:t xml:space="preserve">1.0</w:t>
            </w:r>
          </w:p>
        </w:tc>
      </w:tr>
      <w:tr>
        <w:tc>
          <w:tcPr>
            <w:tcW w:type="dxa" w:w="4680"/>
          </w:tcPr>
          <w:p>
            <w:pPr>
              <w:spacing w:before="40" w:after="40"/>
            </w:pPr>
            <w:r>
              <w:rPr>
                <w:rFonts w:ascii="Arial" w:hAnsi="Arial"/>
                <w:sz w:val="18"/>
              </w:rPr>
              <w:t xml:space="preserve">Status</w:t>
            </w:r>
          </w:p>
        </w:tc>
        <w:tc>
          <w:tcPr>
            <w:tcW w:type="dxa" w:w="4680"/>
          </w:tcPr>
          <w:p>
            <w:pPr>
              <w:spacing w:before="40" w:after="40"/>
            </w:pPr>
            <w:r>
              <w:rPr>
                <w:rFonts w:ascii="Arial" w:hAnsi="Arial"/>
                <w:sz w:val="18"/>
              </w:rPr>
              <w:t xml:space="preserve">CURRENT</w:t>
            </w:r>
          </w:p>
        </w:tc>
      </w:tr>
      <w:tr>
        <w:tc>
          <w:tcPr>
            <w:tcW w:type="dxa" w:w="4680"/>
          </w:tcPr>
          <w:p>
            <w:pPr>
              <w:spacing w:before="40" w:after="40"/>
            </w:pPr>
            <w:r>
              <w:rPr>
                <w:rFonts w:ascii="Arial" w:hAnsi="Arial"/>
                <w:sz w:val="18"/>
              </w:rPr>
              <w:t xml:space="preserve">Effective Date</w:t>
            </w:r>
          </w:p>
        </w:tc>
        <w:tc>
          <w:tcPr>
            <w:tcW w:type="dxa" w:w="4680"/>
          </w:tcPr>
          <w:p>
            <w:pPr>
              <w:spacing w:before="40" w:after="40"/>
            </w:pPr>
            <w:r>
              <w:rPr>
                <w:rFonts w:ascii="Arial" w:hAnsi="Arial"/>
                <w:sz w:val="18"/>
              </w:rPr>
              <w:t xml:space="preserve">16-Apr-2026</w:t>
            </w:r>
          </w:p>
        </w:tc>
      </w:tr>
      <w:tr>
        <w:tc>
          <w:tcPr>
            <w:tcW w:type="dxa" w:w="4680"/>
          </w:tcPr>
          <w:p>
            <w:pPr>
              <w:spacing w:before="40" w:after="40"/>
            </w:pPr>
            <w:r>
              <w:rPr>
                <w:rFonts w:ascii="Arial" w:hAnsi="Arial"/>
                <w:sz w:val="18"/>
              </w:rPr>
              <w:t xml:space="preserve">Classification</w:t>
            </w:r>
          </w:p>
        </w:tc>
        <w:tc>
          <w:tcPr>
            <w:tcW w:type="dxa" w:w="4680"/>
          </w:tcPr>
          <w:p>
            <w:pPr>
              <w:spacing w:before="40" w:after="40"/>
            </w:pPr>
            <w:r>
              <w:rPr>
                <w:rFonts w:ascii="Arial" w:hAnsi="Arial"/>
                <w:sz w:val="18"/>
              </w:rPr>
              <w:t xml:space="preserve">INTERNAL</w:t>
            </w:r>
          </w:p>
        </w:tc>
      </w:tr>
    </w:tbl>
    <w:p>
      <w:pPr>
        <w:spacing w:before="60" w:after="60"/>
      </w:pPr>
      <w:r>
        <w:rPr>
          <w:rFonts w:ascii="Arial" w:hAnsi="Arial"/>
          <w:sz w:val="20"/>
        </w:rPr>
        <w:t xml:space="preserve">This document is controlled. Unauthorised reproduction is prohibited.</w:t>
      </w:r>
    </w:p>
    <w:p>
      <w:pPr>
        <w:spacing w:before="60" w:after="60"/>
      </w:pPr>
      <w:r>
        <w:rPr>
          <w:rFonts w:ascii="Arial" w:hAnsi="Arial"/>
          <w:sz w:val="20"/>
        </w:rPr>
        <w:t xml:space="preserve">Always verify you are reading the current approved version before use.</w:t>
      </w:r>
    </w:p>
    <w:sectPr>
      <w:headerReference w:type="default" r:id="rId3"/>
      <w:footerReference w:type="default" r:id="rId4"/>
      <w:pgSz w:w="12240" w:h="15840"/>
      <w:pgMar w:top="2160" w:right="1440" w:bottom="1440" w:left="1440" w:header="432" w:footer="432" w:gutter="0"/>
      <w:cols w:space="720"/>
      <w:docGrid w:linePitch="360"/>
    </w:sectPr>
  </w:body>
</w:document>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p14">
  <w:p>
    <w:pPr>
      <w:jc w:val="right"/>
      <w:spacing w:before="0" w:after="0"/>
      <w:pBdr>
        <w:top w:val="double" w:sz="6" w:space="1" w:color="000000"/>
      </w:pBdr>
    </w:pPr>
    <w:r>
      <w:rPr>
        <w:rFonts w:ascii="Arial" w:hAnsi="Arial"/>
        <w:b w:val="0"/>
        <w:i w:val="0"/>
        <w:color w:val="000000"/>
        <w:sz w:val="18"/>
      </w:rPr>
      <w:t xml:space="preserve">Page </w:t>
    </w:r>
    <w:r>
      <w:rPr>
        <w:rFonts w:ascii="Arial" w:hAnsi="Arial"/>
        <w:b w:val="0"/>
        <w:i w:val="0"/>
        <w:color w:val="000000"/>
        <w:sz w:val="18"/>
      </w:rPr>
      <w:fldChar w:fldCharType="begin"/>
    </w:r>
    <w:r>
      <w:rPr>
        <w:rFonts w:ascii="Arial" w:hAnsi="Arial"/>
        <w:b w:val="0"/>
        <w:i w:val="0"/>
        <w:color w:val="000000"/>
        <w:sz w:val="18"/>
      </w:rPr>
      <w:instrText xml:space="preserve"> PAGE </w:instrText>
    </w:r>
    <w:r>
      <w:rPr>
        <w:rFonts w:ascii="Arial" w:hAnsi="Arial"/>
        <w:b w:val="0"/>
        <w:i w:val="0"/>
        <w:color w:val="000000"/>
        <w:sz w:val="18"/>
      </w:rPr>
      <w:fldChar w:fldCharType="end"/>
    </w:r>
    <w:r>
      <w:rPr>
        <w:rFonts w:ascii="Arial" w:hAnsi="Arial"/>
        <w:b w:val="0"/>
        <w:i w:val="0"/>
        <w:color w:val="000000"/>
        <w:sz w:val="18"/>
      </w:rPr>
      <w:t xml:space="preserve"> of </w:t>
    </w:r>
    <w:r>
      <w:rPr>
        <w:rFonts w:ascii="Arial" w:hAnsi="Arial"/>
        <w:b w:val="0"/>
        <w:i w:val="0"/>
        <w:color w:val="000000"/>
        <w:sz w:val="18"/>
      </w:rPr>
      <w:fldChar w:fldCharType="begin"/>
    </w:r>
    <w:r>
      <w:rPr>
        <w:rFonts w:ascii="Arial" w:hAnsi="Arial"/>
        <w:b w:val="0"/>
        <w:i w:val="0"/>
        <w:color w:val="000000"/>
        <w:sz w:val="18"/>
      </w:rPr>
      <w:instrText xml:space="preserve"> NUMPAGES </w:instrText>
    </w:r>
    <w:r>
      <w:rPr>
        <w:rFonts w:ascii="Arial" w:hAnsi="Arial"/>
        <w:b w:val="0"/>
        <w:i w:val="0"/>
        <w:color w:val="000000"/>
        <w:sz w:val="18"/>
      </w:rPr>
      <w:fldChar w:fldCharType="end"/>
    </w: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p14">
  <w:tbl>
    <w:tblPr>
      <w:tblW w:type="dxa" w:w="936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4500"/>
      <w:gridCol w:w="3060"/>
    </w:tblGrid>
    <w:tr>
      <w:tc>
        <w:tcPr>
          <w:tcW w:type="dxa" w:w="1800"/>
          <w:vAlign w:val="center"/>
        </w:tcPr>
        <w:p>
          <w:pPr>
            <w:jc w:val="center"/>
            <w:spacing w:before="60" w:after="60"/>
          </w:pPr>
          <w:r>
            <w:rPr>
              <w:rFonts w:ascii="Arial" w:hAnsi="Arial"/>
              <w:b w:val="0"/>
              <w:i/>
              <w:color w:val="000000"/>
              <w:sz w:val="20"/>
            </w:rPr>
            <w:t xml:space="preserve">charles river</w:t>
          </w:r>
        </w:p>
      </w:tc>
      <w:tc>
        <w:tcPr>
          <w:tcW w:type="dxa" w:w="4500"/>
          <w:vAlign w:val="center"/>
        </w:tcPr>
        <w:p>
          <w:pPr>
            <w:jc w:val="center"/>
            <w:spacing w:before="40" w:after="0"/>
          </w:pPr>
          <w:r>
            <w:rPr>
              <w:rFonts w:ascii="Arial" w:hAnsi="Arial"/>
              <w:b/>
              <w:i w:val="0"/>
              <w:color w:val="000000"/>
              <w:sz w:val="22"/>
            </w:rPr>
            <w:t xml:space="preserve">STANDARD OPERATING</w:t>
          </w:r>
        </w:p>
        <w:p>
          <w:pPr>
            <w:jc w:val="center"/>
            <w:spacing w:before="0" w:after="40"/>
          </w:pPr>
          <w:r>
            <w:rPr>
              <w:rFonts w:ascii="Arial" w:hAnsi="Arial"/>
              <w:b/>
              <w:i w:val="0"/>
              <w:color w:val="000000"/>
              <w:sz w:val="22"/>
            </w:rPr>
            <w:t>PROCEDURE</w:t>
          </w:r>
        </w:p>
      </w:tc>
      <w:tc>
        <w:tcPr>
          <w:tcW w:type="dxa" w:w="3060"/>
          <w:vAlign w:val="top"/>
        </w:tcPr>
        <w:p>
          <w:pPr>
            <w:spacing w:before="40" w:after="40"/>
          </w:pPr>
          <w:r>
            <w:rPr>
              <w:rFonts w:ascii="Arial" w:hAnsi="Arial"/>
              <w:b w:val="0"/>
              <w:i w:val="0"/>
              <w:color w:val="000000"/>
              <w:sz w:val="17"/>
            </w:rPr>
            <w:t xml:space="preserve">Doc #: SOP-58927</w:t>
          </w:r>
        </w:p>
        <w:p>
          <w:pPr>
            <w:spacing w:before="0" w:after="40"/>
          </w:pPr>
          <w:r>
            <w:rPr>
              <w:rFonts w:ascii="Arial" w:hAnsi="Arial"/>
              <w:b w:val="0"/>
              <w:i w:val="0"/>
              <w:color w:val="000000"/>
              <w:sz w:val="17"/>
            </w:rPr>
            <w:t xml:space="preserve">Rev #: 1.0</w:t>
          </w:r>
        </w:p>
        <w:p>
          <w:pPr>
            <w:spacing w:before="0" w:after="40"/>
          </w:pPr>
          <w:r>
            <w:rPr>
              <w:rFonts w:ascii="Arial" w:hAnsi="Arial"/>
              <w:b w:val="0"/>
              <w:i w:val="0"/>
              <w:color w:val="000000"/>
              <w:sz w:val="17"/>
            </w:rPr>
            <w:t xml:space="preserve">Effective Date: 16/Apr/2026</w:t>
          </w:r>
        </w:p>
      </w:tc>
    </w:tr>
  </w:tbl>
  <w:tbl>
    <w:tblPr>
      <w:tblW w:type="dxa" w:w="936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c>
        <w:tcPr>
          <w:tcW w:type="dxa" w:w="9360"/>
          <w:vAlign w:val="center"/>
        </w:tcPr>
        <w:p>
          <w:pPr>
            <w:spacing w:before="60" w:after="60"/>
          </w:pPr>
          <w:r>
            <w:rPr>
              <w:rFonts w:ascii="Arial" w:hAnsi="Arial"/>
              <w:b w:val="0"/>
              <w:i w:val="0"/>
              <w:color w:val="000000"/>
              <w:sz w:val="19"/>
            </w:rPr>
            <w:t xml:space="preserve">Title: Standard Operating Procedure for Responsible AI Use in Global Technology</w:t>
          </w:r>
        </w:p>
      </w:tc>
    </w:tr>
  </w:tbl>
  <w:p>
    <w:pPr>
      <w:jc w:val="center"/>
      <w:spacing w:before="60" w:after="0"/>
    </w:pPr>
    <w:r>
      <w:rPr>
        <w:rFonts w:ascii="Arial" w:hAnsi="Arial"/>
        <w:b w:val="0"/>
        <w:i w:val="0"/>
        <w:color w:val="808080"/>
        <w:sz w:val="17"/>
      </w:rPr>
      <w:t xml:space="preserve">Status CURRENT, Confidential &amp; Proprietary</w:t>
    </w:r>
  </w:p>
</w:hd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sz w:val="20"/>
        <w:szCs w:val="20"/>
      </w:rPr>
    </w:rPrDefault>
  </w:docDefaults>
  <w:style w:type="paragraph" w:styleId="Normal">
    <w:name w:val="Normal"/>
    <w:pPr>
      <w:spacing w:after="120"/>
    </w:pPr>
    <w:rPr>
      <w:rFonts w:ascii="Arial" w:hAnsi="Arial"/>
      <w:sz w:val="20"/>
    </w:rPr>
  </w:style>
  <w:style w:type="paragraph" w:styleId="Heading1">
    <w:name w:val="heading 1"/>
    <w:basedOn w:val="Normal"/>
    <w:pPr>
      <w:outlineLvl w:val="0"/>
      <w:spacing w:before="240" w:after="120"/>
    </w:pPr>
    <w:rPr>
      <w:rFonts w:ascii="Arial" w:hAnsi="Arial"/>
      <w:b/>
      <w:sz w:val="32"/>
    </w:rPr>
  </w:style>
  <w:style w:type="paragraph" w:styleId="Heading2">
    <w:name w:val="heading 2"/>
    <w:basedOn w:val="Normal"/>
    <w:pPr>
      <w:outlineLvl w:val="1"/>
      <w:spacing w:before="200" w:after="100"/>
    </w:pPr>
    <w:rPr>
      <w:rFonts w:ascii="Arial" w:hAnsi="Arial"/>
      <w:b/>
      <w:sz w:val="28"/>
    </w:rPr>
  </w:style>
  <w:style w:type="paragraph" w:styleId="Heading3">
    <w:name w:val="heading 3"/>
    <w:basedOn w:val="Normal"/>
    <w:pPr>
      <w:outlineLvl w:val="2"/>
      <w:spacing w:before="160" w:after="80"/>
    </w:pPr>
    <w:rPr>
      <w:rFonts w:ascii="Arial" w:hAnsi="Arial"/>
      <w:b/>
      <w:sz w:val="24"/>
    </w:rPr>
  </w:style>
  <w:style w:type="paragraph" w:styleId="Heading4">
    <w:name w:val="heading 4"/>
    <w:basedOn w:val="Normal"/>
    <w:pPr>
      <w:outlineLvl w:val="3"/>
      <w:spacing w:before="120" w:after="60"/>
    </w:pPr>
    <w:rPr>
      <w:rFonts w:ascii="Arial" w:hAnsi="Arial"/>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header"
    Target="header1.xml"/>
  <Relationship Id="rId4"
    Type="http://schemas.openxmlformats.org/officeDocument/2006/relationships/footer"
    Target="footer1.xml"/>
</Relationships>

</file>