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0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CMDB Ownership Remediation — KPI Dashboard</w:t>
      </w:r>
    </w:p>
    <w:p>
      <w:pPr>
        <w:spacing w:after="160" w:before="0"/>
      </w:pPr>
      <w:r>
        <w:rPr>
          <w:rFonts w:ascii="Arial" w:cs="Arial" w:eastAsia="Arial" w:hAnsi="Arial"/>
          <w:color w:val="2E75B6"/>
          <w:sz w:val="21"/>
          <w:szCs w:val="21"/>
        </w:rPr>
        <w:t xml:space="preserve">Azure US  •  Azure China  •  AWS     |     Project Duration: April – July 2026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734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KPI 1 — Financial:  Cumulative Cloud Cost Savings from Owner Attribution  ($)</w:t>
            </w:r>
          </w:p>
        </w:tc>
      </w:tr>
    </w:tbl>
    <w:p>
      <w:pPr>
        <w:spacing w:after="0" w:before="6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24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7375E"/>
                <w:sz w:val="19"/>
                <w:szCs w:val="19"/>
              </w:rPr>
              <w:t xml:space="preserve">Objective</w:t>
            </w:r>
          </w:p>
        </w:tc>
        <w:tc>
          <w:tcPr>
            <w:tcW w:type="dxa" w:w="8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Quantify and track monthly cloud cost savings achieved by eliminating orphaned, untagged, and unaccountable resources once ownership is fully established in CMDB.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7375E"/>
                <w:sz w:val="19"/>
                <w:szCs w:val="19"/>
              </w:rPr>
              <w:t xml:space="preserve">Rationale</w:t>
            </w:r>
          </w:p>
        </w:tc>
        <w:tc>
          <w:tcPr>
            <w:tcW w:type="dxa" w:w="8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Resources without an assigned owner cannot be governed for cost. Once owners are attributed, teams can identify idle/orphaned resources, enforce right-sizing, and drive cost accountability — generating measurable savings from July 2026 onwards.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7375E"/>
                <w:sz w:val="19"/>
                <w:szCs w:val="19"/>
              </w:rPr>
              <w:t xml:space="preserve">Baseline</w:t>
            </w:r>
          </w:p>
        </w:tc>
        <w:tc>
          <w:tcPr>
            <w:tcW w:type="dxa" w:w="8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7B5500"/>
                <w:sz w:val="19"/>
                <w:szCs w:val="19"/>
              </w:rPr>
              <w:t xml:space="preserve">Current estimated annual waste from unowned resources (orphaned VMs, idle storage, untagged workloads) across Azure US, Azure China &amp; AWS.  →  To be established at Phase 1 audit completion (end of Week 4).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7375E"/>
                <w:sz w:val="19"/>
                <w:szCs w:val="19"/>
              </w:rPr>
              <w:t xml:space="preserve">Target</w:t>
            </w:r>
          </w:p>
        </w:tc>
        <w:tc>
          <w:tcPr>
            <w:tcW w:type="dxa" w:w="8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5C38"/>
                <w:sz w:val="19"/>
                <w:szCs w:val="19"/>
              </w:rPr>
              <w:t xml:space="preserve">Achieve cumulative savings of [$$$ — to be confirmed post-audit] by December 2026, representing a [X]% reduction in cloud waste attributed to unowned resources.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7375E"/>
                <w:sz w:val="19"/>
                <w:szCs w:val="19"/>
              </w:rPr>
              <w:t xml:space="preserve">Measurement</w:t>
            </w:r>
          </w:p>
        </w:tc>
        <w:tc>
          <w:tcPr>
            <w:tcW w:type="dxa" w:w="8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Monthly: export cost data from Azure Cost Management + AWS Cost Explorer filtered by newly owner-tagged resources. Compare spend on remediated resources vs. pre-project baseline.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7375E"/>
                <w:sz w:val="19"/>
                <w:szCs w:val="19"/>
              </w:rPr>
              <w:t xml:space="preserve">Reporting Cadence</w:t>
            </w:r>
          </w:p>
        </w:tc>
        <w:tc>
          <w:tcPr>
            <w:tcW w:type="dxa" w:w="8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Monthly — reported from July 2026 onwards (CMDB work complete by end of June 2026)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7375E"/>
                <w:sz w:val="19"/>
                <w:szCs w:val="19"/>
              </w:rPr>
              <w:t xml:space="preserve">Data Source</w:t>
            </w:r>
          </w:p>
        </w:tc>
        <w:tc>
          <w:tcPr>
            <w:tcW w:type="dxa" w:w="8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Azure Cost Management Portal  |  AWS Cost Explorer  |  ServiceNow CMDB cost attribution module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7375E"/>
                <w:sz w:val="19"/>
                <w:szCs w:val="19"/>
              </w:rPr>
              <w:t xml:space="preserve">Owner</w:t>
            </w:r>
          </w:p>
        </w:tc>
        <w:tc>
          <w:tcPr>
            <w:tcW w:type="dxa" w:w="8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Cloud FinOps Lead / Project Manager</w:t>
            </w:r>
          </w:p>
        </w:tc>
      </w:tr>
    </w:tbl>
    <w:p>
      <w:pPr>
        <w:spacing w:after="0" w:before="12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217346"/>
          <w:sz w:val="20"/>
          <w:szCs w:val="20"/>
        </w:rPr>
        <w:t xml:space="preserve">Monthly Savings Tracker (cumulative, $)</w:t>
      </w:r>
    </w:p>
    <w:p>
      <w:pPr>
        <w:spacing w:after="0" w:before="4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4"/>
        <w:gridCol w:w="1604"/>
        <w:gridCol w:w="1404"/>
        <w:gridCol w:w="1404"/>
        <w:gridCol w:w="1504"/>
        <w:gridCol w:w="1504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1734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</w:t>
            </w:r>
          </w:p>
        </w:tc>
        <w:tc>
          <w:tcPr>
            <w:tcW w:type="dxa" w:w="16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1734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Azure US Savings ($)</w:t>
            </w:r>
          </w:p>
        </w:tc>
        <w:tc>
          <w:tcPr>
            <w:tcW w:type="dxa" w:w="16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1734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Azure China Savings ($)</w:t>
            </w:r>
          </w:p>
        </w:tc>
        <w:tc>
          <w:tcPr>
            <w:tcW w:type="dxa" w:w="14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1734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 Savings ($)</w:t>
            </w:r>
          </w:p>
        </w:tc>
        <w:tc>
          <w:tcPr>
            <w:tcW w:type="dxa" w:w="14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1734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Total ($)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1734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Cumulative Total ($)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1734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Jun 2026 — CMDB work complete</w:t>
            </w:r>
          </w:p>
        </w:tc>
        <w:tc>
          <w:tcPr>
            <w:tcW w:type="dxa" w:w="16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6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4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4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Jul 2026</w:t>
            </w:r>
          </w:p>
        </w:tc>
        <w:tc>
          <w:tcPr>
            <w:tcW w:type="dxa" w:w="16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$[TBD]</w:t>
            </w:r>
          </w:p>
        </w:tc>
        <w:tc>
          <w:tcPr>
            <w:tcW w:type="dxa" w:w="16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$[TBD]</w:t>
            </w:r>
          </w:p>
        </w:tc>
        <w:tc>
          <w:tcPr>
            <w:tcW w:type="dxa" w:w="14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$[TBD]</w:t>
            </w:r>
          </w:p>
        </w:tc>
        <w:tc>
          <w:tcPr>
            <w:tcW w:type="dxa" w:w="14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$[TBD]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$[TBD]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Aug 2026</w:t>
            </w:r>
          </w:p>
        </w:tc>
        <w:tc>
          <w:tcPr>
            <w:tcW w:type="dxa" w:w="16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$[TBD]</w:t>
            </w:r>
          </w:p>
        </w:tc>
        <w:tc>
          <w:tcPr>
            <w:tcW w:type="dxa" w:w="16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$[TBD]</w:t>
            </w:r>
          </w:p>
        </w:tc>
        <w:tc>
          <w:tcPr>
            <w:tcW w:type="dxa" w:w="14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$[TBD]</w:t>
            </w:r>
          </w:p>
        </w:tc>
        <w:tc>
          <w:tcPr>
            <w:tcW w:type="dxa" w:w="14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$[TBD]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$[TBD]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Sep 2026</w:t>
            </w:r>
          </w:p>
        </w:tc>
        <w:tc>
          <w:tcPr>
            <w:tcW w:type="dxa" w:w="16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$[TBD]</w:t>
            </w:r>
          </w:p>
        </w:tc>
        <w:tc>
          <w:tcPr>
            <w:tcW w:type="dxa" w:w="16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$[TBD]</w:t>
            </w:r>
          </w:p>
        </w:tc>
        <w:tc>
          <w:tcPr>
            <w:tcW w:type="dxa" w:w="14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$[TBD]</w:t>
            </w:r>
          </w:p>
        </w:tc>
        <w:tc>
          <w:tcPr>
            <w:tcW w:type="dxa" w:w="14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$[TBD]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$[TBD]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Oct 2026</w:t>
            </w:r>
          </w:p>
        </w:tc>
        <w:tc>
          <w:tcPr>
            <w:tcW w:type="dxa" w:w="16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$[TBD]</w:t>
            </w:r>
          </w:p>
        </w:tc>
        <w:tc>
          <w:tcPr>
            <w:tcW w:type="dxa" w:w="16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$[TBD]</w:t>
            </w:r>
          </w:p>
        </w:tc>
        <w:tc>
          <w:tcPr>
            <w:tcW w:type="dxa" w:w="14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$[TBD]</w:t>
            </w:r>
          </w:p>
        </w:tc>
        <w:tc>
          <w:tcPr>
            <w:tcW w:type="dxa" w:w="14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$[TBD]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$[TBD]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Nov 2026</w:t>
            </w:r>
          </w:p>
        </w:tc>
        <w:tc>
          <w:tcPr>
            <w:tcW w:type="dxa" w:w="16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$[TBD]</w:t>
            </w:r>
          </w:p>
        </w:tc>
        <w:tc>
          <w:tcPr>
            <w:tcW w:type="dxa" w:w="16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$[TBD]</w:t>
            </w:r>
          </w:p>
        </w:tc>
        <w:tc>
          <w:tcPr>
            <w:tcW w:type="dxa" w:w="14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$[TBD]</w:t>
            </w:r>
          </w:p>
        </w:tc>
        <w:tc>
          <w:tcPr>
            <w:tcW w:type="dxa" w:w="14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$[TBD]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$[TBD]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Dec 2026</w:t>
            </w:r>
          </w:p>
        </w:tc>
        <w:tc>
          <w:tcPr>
            <w:tcW w:type="dxa" w:w="16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$[TBD]</w:t>
            </w:r>
          </w:p>
        </w:tc>
        <w:tc>
          <w:tcPr>
            <w:tcW w:type="dxa" w:w="16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$[TBD]</w:t>
            </w:r>
          </w:p>
        </w:tc>
        <w:tc>
          <w:tcPr>
            <w:tcW w:type="dxa" w:w="14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$[TBD]</w:t>
            </w:r>
          </w:p>
        </w:tc>
        <w:tc>
          <w:tcPr>
            <w:tcW w:type="dxa" w:w="14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$[TBD]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$[TBD]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Planned</w:t>
            </w:r>
          </w:p>
        </w:tc>
      </w:tr>
    </w:tbl>
    <w:p>
      <w:pPr>
        <w:spacing w:after="0" w:before="60"/>
      </w:pPr>
    </w:p>
    <w:p>
      <w:pPr>
        <w:spacing w:after="40" w:before="40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Note: Savings figures to be populated monthly from Azure Cost Management and AWS Cost Explorer reports. Baseline spend-per-resource to be captured at Phase 1 audit (Week 4).</w:t>
      </w:r>
    </w:p>
    <w:p>
      <w:pPr>
        <w:spacing w:after="0" w:before="20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KPI 2 — Operational:  % of Ownership Tags Missing in CMDB  (Baseline vs. Target)</w:t>
            </w:r>
          </w:p>
        </w:tc>
      </w:tr>
    </w:tbl>
    <w:p>
      <w:pPr>
        <w:spacing w:after="0" w:before="6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24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7375E"/>
                <w:sz w:val="19"/>
                <w:szCs w:val="19"/>
              </w:rPr>
              <w:t xml:space="preserve">Objective</w:t>
            </w:r>
          </w:p>
        </w:tc>
        <w:tc>
          <w:tcPr>
            <w:tcW w:type="dxa" w:w="8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Track the percentage of CMDB records across all cloud platforms that are missing an owner tag, from the initial baseline through to project completion — demonstrating measurable improvement over time.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7375E"/>
                <w:sz w:val="19"/>
                <w:szCs w:val="19"/>
              </w:rPr>
              <w:t xml:space="preserve">Rationale</w:t>
            </w:r>
          </w:p>
        </w:tc>
        <w:tc>
          <w:tcPr>
            <w:tcW w:type="dxa" w:w="8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4E79"/>
                <w:sz w:val="19"/>
                <w:szCs w:val="19"/>
              </w:rPr>
              <w:t xml:space="preserve">This KPI directly measures the core output of the project. A declining % of missing ownership tags proves the remediation is working. It also establishes an ongoing hygiene metric post-project.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7375E"/>
                <w:sz w:val="19"/>
                <w:szCs w:val="19"/>
              </w:rPr>
              <w:t xml:space="preserve">Baseline</w:t>
            </w:r>
          </w:p>
        </w:tc>
        <w:tc>
          <w:tcPr>
            <w:tcW w:type="dxa" w:w="8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7B5500"/>
                <w:sz w:val="19"/>
                <w:szCs w:val="19"/>
              </w:rPr>
              <w:t xml:space="preserve">% of CMDB records with missing owner tag at project start (Week 1 audit).  →  Expected to be established at Phase 1 audit completion (end of Week 4). Example: 'Baseline = 68% of records missing an owner'.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7375E"/>
                <w:sz w:val="19"/>
                <w:szCs w:val="19"/>
              </w:rPr>
              <w:t xml:space="preserve">Target</w:t>
            </w:r>
          </w:p>
        </w:tc>
        <w:tc>
          <w:tcPr>
            <w:tcW w:type="dxa" w:w="8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5C38"/>
                <w:sz w:val="19"/>
                <w:szCs w:val="19"/>
              </w:rPr>
              <w:t xml:space="preserve">Less than 5% of CMDB records missing an owner tag by end of June 2026 (project close). Long-term steady-state target: &lt; 2% (enforced via automated alerts from July 2026).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7375E"/>
                <w:sz w:val="19"/>
                <w:szCs w:val="19"/>
              </w:rPr>
              <w:t xml:space="preserve">Formula</w:t>
            </w:r>
          </w:p>
        </w:tc>
        <w:tc>
          <w:tcPr>
            <w:tcW w:type="dxa" w:w="8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% Missing  =  (Records with no owner field populated  ÷  Total active CMDB records)  ×  100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7375E"/>
                <w:sz w:val="19"/>
                <w:szCs w:val="19"/>
              </w:rPr>
              <w:t xml:space="preserve">Measurement</w:t>
            </w:r>
          </w:p>
        </w:tc>
        <w:tc>
          <w:tcPr>
            <w:tcW w:type="dxa" w:w="8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ServiceNow CMDB report: filter active CIs by owner field = null or empty. Run per platform (Azure US / Azure China / AWS) and in aggregate.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7375E"/>
                <w:sz w:val="19"/>
                <w:szCs w:val="19"/>
              </w:rPr>
              <w:t xml:space="preserve">Reporting Cadence</w:t>
            </w:r>
          </w:p>
        </w:tc>
        <w:tc>
          <w:tcPr>
            <w:tcW w:type="dxa" w:w="8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Bi-weekly during project (Weeks 1–16)  |  Monthly post-project (from July 2026)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7375E"/>
                <w:sz w:val="19"/>
                <w:szCs w:val="19"/>
              </w:rPr>
              <w:t xml:space="preserve">Data Source</w:t>
            </w:r>
          </w:p>
        </w:tc>
        <w:tc>
          <w:tcPr>
            <w:tcW w:type="dxa" w:w="8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ServiceNow CMDB  |  Azure Resource Graph  |  AWS Config Tag Editor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7375E"/>
                <w:sz w:val="19"/>
                <w:szCs w:val="19"/>
              </w:rPr>
              <w:t xml:space="preserve">Owner</w:t>
            </w:r>
          </w:p>
        </w:tc>
        <w:tc>
          <w:tcPr>
            <w:tcW w:type="dxa" w:w="8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CMDB Admin / Project Manager</w:t>
            </w:r>
          </w:p>
        </w:tc>
      </w:tr>
    </w:tbl>
    <w:p>
      <w:pPr>
        <w:spacing w:after="0" w:before="12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Bi-Weekly Progress Tracker — % Missing Ownership Tags</w:t>
      </w:r>
    </w:p>
    <w:p>
      <w:pPr>
        <w:spacing w:after="0" w:before="4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1500"/>
        <w:gridCol w:w="1300"/>
        <w:gridCol w:w="1524"/>
        <w:gridCol w:w="1300"/>
        <w:gridCol w:w="130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Azure US
% Missing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Azure China
% Missing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
% Missing</w:t>
            </w:r>
          </w:p>
        </w:tc>
        <w:tc>
          <w:tcPr>
            <w:tcW w:type="dxa" w:w="15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Aggregate
% Missing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
% Missing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 Track?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Baseline (Wk 1–4 Audit)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[TBD]%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[TBD]%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[TBD]%</w:t>
            </w:r>
          </w:p>
        </w:tc>
        <w:tc>
          <w:tcPr>
            <w:tcW w:type="dxa" w:w="15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[TBD]%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&lt; 5%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Week 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[TBD]%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[TBD]%</w:t>
            </w:r>
          </w:p>
        </w:tc>
        <w:tc>
          <w:tcPr>
            <w:tcW w:type="dxa" w:w="15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[TBD]%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&lt; 5%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Week 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[TBD]%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[TBD]%</w:t>
            </w:r>
          </w:p>
        </w:tc>
        <w:tc>
          <w:tcPr>
            <w:tcW w:type="dxa" w:w="15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[TBD]%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&lt; 5%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Week 10 (M2 checkpoint)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[TBD]%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[TBD]%</w:t>
            </w:r>
          </w:p>
        </w:tc>
        <w:tc>
          <w:tcPr>
            <w:tcW w:type="dxa" w:w="15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[TBD]%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&lt; 5%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Week 12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[TBD]%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[TBD]%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[TBD]%</w:t>
            </w:r>
          </w:p>
        </w:tc>
        <w:tc>
          <w:tcPr>
            <w:tcW w:type="dxa" w:w="15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[TBD]%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&lt; 5%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Week 14 (M3 checkpoint)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[TBD]%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[TBD]%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[TBD]%</w:t>
            </w:r>
          </w:p>
        </w:tc>
        <w:tc>
          <w:tcPr>
            <w:tcW w:type="dxa" w:w="15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[TBD]%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&lt; 5%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Week 16 — Project Close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&lt; 5%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&lt; 5%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&lt; 5%</w:t>
            </w:r>
          </w:p>
        </w:tc>
        <w:tc>
          <w:tcPr>
            <w:tcW w:type="dxa" w:w="15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&lt; 5%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&lt; 5%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Jul 2026 onwards (steady state)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&lt; 2%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&lt; 2%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&lt; 2%</w:t>
            </w:r>
          </w:p>
        </w:tc>
        <w:tc>
          <w:tcPr>
            <w:tcW w:type="dxa" w:w="15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&lt; 2%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&lt; 2%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Ongoing</w:t>
            </w:r>
          </w:p>
        </w:tc>
      </w:tr>
    </w:tbl>
    <w:p>
      <w:pPr>
        <w:spacing w:after="0" w:before="60"/>
      </w:pPr>
    </w:p>
    <w:p>
      <w:pPr>
        <w:spacing w:after="40" w:before="40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Note: Azure China remediation begins in Phase 3 (Week 11); earlier rows show '—' for Azure China. All [TBD]% fields to be populated bi-weekly from ServiceNow CMDB reports.</w:t>
      </w:r>
    </w:p>
    <w:p>
      <w:pPr>
        <w:spacing w:after="0" w:before="16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00"/>
        <w:gridCol w:w="2100"/>
        <w:gridCol w:w="2124"/>
        <w:gridCol w:w="210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  <w:tc>
          <w:tcPr>
            <w:tcW w:type="dxa" w:w="21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Measured From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KPI 1 — Cost Savings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Financial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$0 (CMDB work completes Jun '26)</w:t>
            </w:r>
          </w:p>
        </w:tc>
        <w:tc>
          <w:tcPr>
            <w:tcW w:type="dxa" w:w="21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8"/>
                <w:sz w:val="18"/>
                <w:szCs w:val="18"/>
              </w:rPr>
              <w:t xml:space="preserve">[$$$ — post audit] cumulative by Dec '26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July 2026 monthly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KPI 2 — % Missing Tags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[TBD]% — set at Week 4 audit</w:t>
            </w:r>
          </w:p>
        </w:tc>
        <w:tc>
          <w:tcPr>
            <w:tcW w:type="dxa" w:w="21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&lt; 5% by Jun '26  |  &lt; 2% steady state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Bi-weekly during project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</w:pPr>
    <w:r>
      <w:rPr>
        <w:rFonts w:ascii="Arial" w:cs="Arial" w:eastAsia="Arial" w:hAnsi="Arial"/>
        <w:color w:val="888888"/>
        <w:sz w:val="17"/>
        <w:szCs w:val="17"/>
      </w:rPr>
      <w:t xml:space="preserve">Confidential — Internal Use Only    |    Version 1.0 — April 2026    |    Azure US · Azure China · AWS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F4E79" w:val="clear"/>
    </w:pPr>
    <w:r>
      <w:rPr>
        <w:rFonts w:ascii="Arial" w:cs="Arial" w:eastAsia="Arial" w:hAnsi="Arial"/>
        <w:b/>
        <w:bCs/>
        <w:color w:val="FFFFFF"/>
        <w:sz w:val="20"/>
        <w:szCs w:val="20"/>
      </w:rPr>
      <w:t xml:space="preserve">  CMDB MISSING OWNER REMEDIATION  —  KEY PERFORMANCE INDICATORS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2026-04-15T14:52:13.749Z</dcterms:created>
  <dcterms:modified xsi:type="dcterms:W3CDTF">2026-04-15T14:52:13.749Z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