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B3A6B"/>
          <w:sz w:val="52"/>
          <w:szCs w:val="52"/>
        </w:rPr>
        <w:t xml:space="preserve">Claude Managed Agents</w:t>
      </w:r>
    </w:p>
    <w:p>
      <w:pPr>
        <w:spacing w:after="80" w:before="0"/>
      </w:pPr>
      <w:r>
        <w:rPr>
          <w:rFonts w:ascii="Arial" w:cs="Arial" w:eastAsia="Arial" w:hAnsi="Arial"/>
          <w:b w:val="false"/>
          <w:bCs w:val="false"/>
          <w:color w:val="185FA5"/>
          <w:sz w:val="36"/>
          <w:szCs w:val="36"/>
        </w:rPr>
        <w:t xml:space="preserve">vs Claude on Amazon Bedrock</w:t>
      </w:r>
    </w:p>
    <w:p>
      <w:pPr>
        <w:pBdr>
          <w:bottom w:val="single" w:color="185FA5" w:sz="8" w:space="1"/>
        </w:pBdr>
        <w:spacing w:after="60"/>
      </w:pPr>
      <w:r>
        <w:rPr>
          <w:rFonts w:ascii="Arial" w:cs="Arial" w:eastAsia="Arial" w:hAnsi="Arial"/>
          <w:color w:val="555555"/>
          <w:sz w:val="22"/>
          <w:szCs w:val="22"/>
        </w:rPr>
        <w:t xml:space="preserve">A platform comparison for building and deploying Claude AI</w:t>
      </w:r>
    </w:p>
    <w:p>
      <w:pPr>
        <w:spacing w:after="80"/>
      </w:pPr>
      <w:r>
        <w:t xml:space="preserve"/>
      </w:r>
    </w:p>
    <w:p>
      <w:pPr>
        <w:pStyle w:val="Heading2"/>
        <w:spacing w:after="100" w:before="240"/>
      </w:pPr>
      <w:r>
        <w:rPr>
          <w:rFonts w:ascii="Arial" w:cs="Arial" w:eastAsia="Arial" w:hAnsi="Arial"/>
          <w:b/>
          <w:bCs/>
          <w:color w:val="1B3A6B"/>
          <w:sz w:val="26"/>
          <w:szCs w:val="26"/>
        </w:rPr>
        <w:t xml:space="preserve">Overview</w:t>
      </w:r>
    </w:p>
    <w:p>
      <w:pPr>
        <w:spacing w:after="120"/>
      </w:pPr>
      <w:r>
        <w:rPr>
          <w:rFonts w:ascii="Arial" w:cs="Arial" w:eastAsia="Arial" w:hAnsi="Arial"/>
          <w:color w:val="333333"/>
          <w:sz w:val="22"/>
          <w:szCs w:val="22"/>
        </w:rPr>
        <w:t xml:space="preserve">As of May 2026, there are three ways to run Claude on AWS: Claude on Amazon Bedrock (AWS-operated, data inside the AWS boundary), the new Claude Platform on AWS (Anthropic-operated, billed through AWS Marketplace), and the direct Anthropic API. Per-token rates are identical across all three. The differences are billing mechanics, feature availability, data residency, and cost visibility.</w:t>
      </w:r>
    </w:p>
    <w:p>
      <w:pPr>
        <w:spacing w:after="120"/>
      </w:pPr>
      <w:r>
        <w:rPr>
          <w:rFonts w:ascii="Arial" w:cs="Arial" w:eastAsia="Arial" w:hAnsi="Arial"/>
          <w:color w:val="333333"/>
          <w:sz w:val="22"/>
          <w:szCs w:val="22"/>
        </w:rPr>
        <w:t xml:space="preserve">This document compares the two most relevant paths for enterprise teams: Claude Managed Agents (via Claude Platform or Claude Platform on AWS) and Claude on Amazon Bedrock.</w:t>
      </w:r>
    </w:p>
    <w:p>
      <w:pPr>
        <w:spacing w:after="80"/>
      </w:pPr>
      <w:r>
        <w:t xml:space="preserve"/>
      </w:r>
    </w:p>
    <w:p>
      <w:pPr>
        <w:pStyle w:val="Heading2"/>
        <w:spacing w:after="100" w:before="240"/>
      </w:pPr>
      <w:r>
        <w:rPr>
          <w:rFonts w:ascii="Arial" w:cs="Arial" w:eastAsia="Arial" w:hAnsi="Arial"/>
          <w:b/>
          <w:bCs/>
          <w:color w:val="1B3A6B"/>
          <w:sz w:val="26"/>
          <w:szCs w:val="26"/>
        </w:rPr>
        <w:t xml:space="preserve">Feature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0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Feature</w:t>
            </w:r>
          </w:p>
        </w:tc>
        <w:tc>
          <w:tcPr>
            <w:tcW w:type="dxa" w:w="29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Claude Managed Agents</w:t>
            </w:r>
          </w:p>
        </w:tc>
        <w:tc>
          <w:tcPr>
            <w:tcW w:type="dxa" w:w="29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Claude on Amazon Bedrock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333333"/>
                <w:sz w:val="20"/>
                <w:szCs w:val="20"/>
              </w:rPr>
              <w:t xml:space="preserve">Operated by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Anthropic</w:t>
            </w:r>
          </w:p>
        </w:tc>
        <w:tc>
          <w:tcPr>
            <w:tcW w:type="dxa" w:w="2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AWS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bCs/>
                <w:color w:val="333333"/>
                <w:sz w:val="20"/>
                <w:szCs w:val="20"/>
              </w:rPr>
              <w:t xml:space="preserve">Data boundary</w:t>
            </w:r>
          </w:p>
        </w:tc>
        <w:tc>
          <w:tcPr>
            <w:tcW w:type="dxa" w:w="29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Outside AWS boundary</w:t>
            </w:r>
          </w:p>
        </w:tc>
        <w:tc>
          <w:tcPr>
            <w:tcW w:type="dxa" w:w="29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Inside AWS boundary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333333"/>
                <w:sz w:val="20"/>
                <w:szCs w:val="20"/>
              </w:rPr>
              <w:t xml:space="preserve">Login / auth</w:t>
            </w:r>
          </w:p>
        </w:tc>
        <w:tc>
          <w:tcPr>
            <w:tcW w:type="dxa" w:w="2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Anthropic account or AWS IAM</w:t>
            </w:r>
          </w:p>
        </w:tc>
        <w:tc>
          <w:tcPr>
            <w:tcW w:type="dxa" w:w="2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AWS IAM only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bCs/>
                <w:color w:val="333333"/>
                <w:sz w:val="20"/>
                <w:szCs w:val="20"/>
              </w:rPr>
              <w:t xml:space="preserve">Billing</w:t>
            </w:r>
          </w:p>
        </w:tc>
        <w:tc>
          <w:tcPr>
            <w:tcW w:type="dxa" w:w="29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Anthropic Console or AWS CCUs</w:t>
            </w:r>
          </w:p>
        </w:tc>
        <w:tc>
          <w:tcPr>
            <w:tcW w:type="dxa" w:w="29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Standard AWS bill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333333"/>
                <w:sz w:val="20"/>
                <w:szCs w:val="20"/>
              </w:rPr>
              <w:t xml:space="preserve">New features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Day-one access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Weeks to months behind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bCs/>
                <w:color w:val="333333"/>
                <w:sz w:val="20"/>
                <w:szCs w:val="20"/>
              </w:rPr>
              <w:t xml:space="preserve">Claude Managed Agents</w:t>
            </w:r>
          </w:p>
        </w:tc>
        <w:tc>
          <w:tcPr>
            <w:tcW w:type="dxa" w:w="29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D6B44"/>
                <w:sz w:val="20"/>
                <w:szCs w:val="20"/>
              </w:rPr>
              <w:t xml:space="preserve">✓ Full support</w:t>
            </w:r>
          </w:p>
        </w:tc>
        <w:tc>
          <w:tcPr>
            <w:tcW w:type="dxa" w:w="29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A32D2D"/>
                <w:sz w:val="20"/>
                <w:szCs w:val="20"/>
              </w:rPr>
              <w:t xml:space="preserve">✗ Not available yet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333333"/>
                <w:sz w:val="20"/>
                <w:szCs w:val="20"/>
              </w:rPr>
              <w:t xml:space="preserve">MCP connector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D6B44"/>
                <w:sz w:val="20"/>
                <w:szCs w:val="20"/>
              </w:rPr>
              <w:t xml:space="preserve">✓ Native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A32D2D"/>
                <w:sz w:val="20"/>
                <w:szCs w:val="20"/>
              </w:rPr>
              <w:t xml:space="preserve">✗ Not available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bCs/>
                <w:color w:val="333333"/>
                <w:sz w:val="20"/>
                <w:szCs w:val="20"/>
              </w:rPr>
              <w:t xml:space="preserve">Code execution</w:t>
            </w:r>
          </w:p>
        </w:tc>
        <w:tc>
          <w:tcPr>
            <w:tcW w:type="dxa" w:w="29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D6B44"/>
                <w:sz w:val="20"/>
                <w:szCs w:val="20"/>
              </w:rPr>
              <w:t xml:space="preserve">✓ Built-in</w:t>
            </w:r>
          </w:p>
        </w:tc>
        <w:tc>
          <w:tcPr>
            <w:tcW w:type="dxa" w:w="29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A32D2D"/>
                <w:sz w:val="20"/>
                <w:szCs w:val="20"/>
              </w:rPr>
              <w:t xml:space="preserve">✗ Not native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333333"/>
                <w:sz w:val="20"/>
                <w:szCs w:val="20"/>
              </w:rPr>
              <w:t xml:space="preserve">Web search / fetch</w:t>
            </w:r>
          </w:p>
        </w:tc>
        <w:tc>
          <w:tcPr>
            <w:tcW w:type="dxa" w:w="2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D6B44"/>
                <w:sz w:val="20"/>
                <w:szCs w:val="20"/>
              </w:rPr>
              <w:t xml:space="preserve">✓ Built-in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A32D2D"/>
                <w:sz w:val="20"/>
                <w:szCs w:val="20"/>
              </w:rPr>
              <w:t xml:space="preserve">✗ Not native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bCs/>
                <w:color w:val="333333"/>
                <w:sz w:val="20"/>
                <w:szCs w:val="20"/>
              </w:rPr>
              <w:t xml:space="preserve">Skills / Files API</w:t>
            </w:r>
          </w:p>
        </w:tc>
        <w:tc>
          <w:tcPr>
            <w:tcW w:type="dxa" w:w="29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D6B44"/>
                <w:sz w:val="20"/>
                <w:szCs w:val="20"/>
              </w:rPr>
              <w:t xml:space="preserve">✓ Included</w:t>
            </w:r>
          </w:p>
        </w:tc>
        <w:tc>
          <w:tcPr>
            <w:tcW w:type="dxa" w:w="29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A32D2D"/>
                <w:sz w:val="20"/>
                <w:szCs w:val="20"/>
              </w:rPr>
              <w:t xml:space="preserve">✗ Not available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333333"/>
                <w:sz w:val="20"/>
                <w:szCs w:val="20"/>
              </w:rPr>
              <w:t xml:space="preserve">Multi-model support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A32D2D"/>
                <w:sz w:val="20"/>
                <w:szCs w:val="20"/>
              </w:rPr>
              <w:t xml:space="preserve">✗ Claude only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D6B44"/>
                <w:sz w:val="20"/>
                <w:szCs w:val="20"/>
              </w:rPr>
              <w:t xml:space="preserve">✓ Llama, Mistral, etc.</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bCs/>
                <w:color w:val="333333"/>
                <w:sz w:val="20"/>
                <w:szCs w:val="20"/>
              </w:rPr>
              <w:t xml:space="preserve">AWS Guardrails</w:t>
            </w:r>
          </w:p>
        </w:tc>
        <w:tc>
          <w:tcPr>
            <w:tcW w:type="dxa" w:w="29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A32D2D"/>
                <w:sz w:val="20"/>
                <w:szCs w:val="20"/>
              </w:rPr>
              <w:t xml:space="preserve">✗ Not available</w:t>
            </w:r>
          </w:p>
        </w:tc>
        <w:tc>
          <w:tcPr>
            <w:tcW w:type="dxa" w:w="29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D6B44"/>
                <w:sz w:val="20"/>
                <w:szCs w:val="20"/>
              </w:rPr>
              <w:t xml:space="preserve">✓ Full support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333333"/>
                <w:sz w:val="20"/>
                <w:szCs w:val="20"/>
              </w:rPr>
              <w:t xml:space="preserve">PrivateLink / VPC</w:t>
            </w:r>
          </w:p>
        </w:tc>
        <w:tc>
          <w:tcPr>
            <w:tcW w:type="dxa" w:w="2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A32D2D"/>
                <w:sz w:val="20"/>
                <w:szCs w:val="20"/>
              </w:rPr>
              <w:t xml:space="preserve">✗ Not supported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D6B44"/>
                <w:sz w:val="20"/>
                <w:szCs w:val="20"/>
              </w:rPr>
              <w:t xml:space="preserve">✓ Supported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bCs/>
                <w:color w:val="333333"/>
                <w:sz w:val="20"/>
                <w:szCs w:val="20"/>
              </w:rPr>
              <w:t xml:space="preserve">Runtime pricing</w:t>
            </w:r>
          </w:p>
        </w:tc>
        <w:tc>
          <w:tcPr>
            <w:tcW w:type="dxa" w:w="29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$0.08/session-hr + tokens</w:t>
            </w:r>
          </w:p>
        </w:tc>
        <w:tc>
          <w:tcPr>
            <w:tcW w:type="dxa" w:w="29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Tokens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333333"/>
                <w:sz w:val="20"/>
                <w:szCs w:val="20"/>
              </w:rPr>
              <w:t xml:space="preserve">HIPAA / FedRAMP</w:t>
            </w:r>
          </w:p>
        </w:tc>
        <w:tc>
          <w:tcPr>
            <w:tcW w:type="dxa" w:w="2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SOC 2, ZDR available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HIPAA, FedRAMP High, SOC 2</w:t>
            </w:r>
          </w:p>
        </w:tc>
      </w:tr>
    </w:tbl>
    <w:p>
      <w:pPr>
        <w:spacing w:after="80"/>
      </w:pPr>
      <w:r>
        <w:t xml:space="preserve"/>
      </w:r>
    </w:p>
    <w:p>
      <w:pPr>
        <w:pStyle w:val="Heading2"/>
        <w:spacing w:after="100" w:before="240"/>
      </w:pPr>
      <w:r>
        <w:rPr>
          <w:rFonts w:ascii="Arial" w:cs="Arial" w:eastAsia="Arial" w:hAnsi="Arial"/>
          <w:b/>
          <w:bCs/>
          <w:color w:val="1B3A6B"/>
          <w:sz w:val="26"/>
          <w:szCs w:val="26"/>
        </w:rPr>
        <w:t xml:space="preserve">Pros &amp; Cons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185FA5" w:val="clear"/>
            <w:tcMar>
              <w:top w:type="dxa" w:w="80"/>
              <w:left w:type="dxa" w:w="150"/>
              <w:bottom w:type="dxa" w:w="80"/>
              <w:right w:type="dxa" w:w="150"/>
            </w:tcMar>
          </w:tcPr>
          <w:p>
            <w:pPr>
              <w:jc w:val="center"/>
            </w:pPr>
            <w:r>
              <w:rPr>
                <w:rFonts w:ascii="Arial" w:cs="Arial" w:eastAsia="Arial" w:hAnsi="Arial"/>
                <w:b/>
                <w:bCs/>
                <w:color w:val="FFFFFF"/>
                <w:sz w:val="22"/>
                <w:szCs w:val="22"/>
              </w:rPr>
              <w:t xml:space="preserve">Claude Managed Agents</w:t>
            </w:r>
          </w:p>
        </w:tc>
        <w:tc>
          <w:tcPr>
            <w:tcW w:type="dxa" w:w="4500"/>
            <w:tcBorders>
              <w:top w:val="single" w:color="CCCCCC" w:sz="1"/>
              <w:left w:val="single" w:color="CCCCCC" w:sz="1"/>
              <w:bottom w:val="single" w:color="CCCCCC" w:sz="1"/>
              <w:right w:val="single" w:color="CCCCCC" w:sz="1"/>
            </w:tcBorders>
            <w:shd w:fill="854F0B" w:val="clear"/>
            <w:tcMar>
              <w:top w:type="dxa" w:w="80"/>
              <w:left w:type="dxa" w:w="150"/>
              <w:bottom w:type="dxa" w:w="80"/>
              <w:right w:type="dxa" w:w="150"/>
            </w:tcMar>
          </w:tcPr>
          <w:p>
            <w:pPr>
              <w:jc w:val="center"/>
            </w:pPr>
            <w:r>
              <w:rPr>
                <w:rFonts w:ascii="Arial" w:cs="Arial" w:eastAsia="Arial" w:hAnsi="Arial"/>
                <w:b/>
                <w:bCs/>
                <w:color w:val="FFFFFF"/>
                <w:sz w:val="22"/>
                <w:szCs w:val="22"/>
              </w:rPr>
              <w:t xml:space="preserve">Claude on Amazon Bedrock</w:t>
            </w:r>
          </w:p>
        </w:tc>
      </w:tr>
      <w:tr>
        <w:tc>
          <w:tcPr>
            <w:tcW w:type="dxa" w:w="4500"/>
            <w:tcBorders>
              <w:top w:val="single" w:color="CCCCCC" w:sz="1"/>
              <w:left w:val="single" w:color="CCCCCC" w:sz="1"/>
              <w:bottom w:val="single" w:color="CCCCCC" w:sz="1"/>
              <w:right w:val="single" w:color="CCCCCC" w:sz="1"/>
            </w:tcBorders>
            <w:shd w:fill="D6F0E0" w:val="clear"/>
            <w:tcMar>
              <w:top w:type="dxa" w:w="120"/>
              <w:left w:type="dxa" w:w="150"/>
              <w:bottom w:type="dxa" w:w="120"/>
              <w:right w:type="dxa" w:w="150"/>
            </w:tcMar>
          </w:tcPr>
          <w:p>
            <w:pPr>
              <w:spacing w:after="80"/>
            </w:pPr>
            <w:r>
              <w:rPr>
                <w:rFonts w:ascii="Arial" w:cs="Arial" w:eastAsia="Arial" w:hAnsi="Arial"/>
                <w:b/>
                <w:bCs/>
                <w:color w:val="1D6B44"/>
                <w:sz w:val="20"/>
                <w:szCs w:val="20"/>
              </w:rPr>
              <w:t xml:space="preserve">Pros</w:t>
            </w:r>
          </w:p>
          <w:p>
            <w:pPr>
              <w:spacing w:after="60"/>
            </w:pPr>
            <w:r>
              <w:rPr>
                <w:rFonts w:ascii="Arial" w:cs="Arial" w:eastAsia="Arial" w:hAnsi="Arial"/>
                <w:sz w:val="18"/>
                <w:szCs w:val="18"/>
              </w:rPr>
              <w:t xml:space="preserve">  </w:t>
            </w:r>
            <w:r>
              <w:rPr>
                <w:rFonts w:ascii="Arial" w:cs="Arial" w:eastAsia="Arial" w:hAnsi="Arial"/>
                <w:color w:val="1D6B44"/>
                <w:sz w:val="18"/>
                <w:szCs w:val="18"/>
              </w:rPr>
              <w:t xml:space="preserve">✓  </w:t>
            </w:r>
            <w:r>
              <w:rPr>
                <w:rFonts w:ascii="Arial" w:cs="Arial" w:eastAsia="Arial" w:hAnsi="Arial"/>
                <w:color w:val="333333"/>
                <w:sz w:val="18"/>
                <w:szCs w:val="18"/>
              </w:rPr>
              <w:t xml:space="preserve">All latest Anthropic features on day one</w:t>
            </w:r>
          </w:p>
          <w:p>
            <w:pPr>
              <w:spacing w:after="60"/>
            </w:pPr>
            <w:r>
              <w:rPr>
                <w:rFonts w:ascii="Arial" w:cs="Arial" w:eastAsia="Arial" w:hAnsi="Arial"/>
                <w:sz w:val="18"/>
                <w:szCs w:val="18"/>
              </w:rPr>
              <w:t xml:space="preserve">  </w:t>
            </w:r>
            <w:r>
              <w:rPr>
                <w:rFonts w:ascii="Arial" w:cs="Arial" w:eastAsia="Arial" w:hAnsi="Arial"/>
                <w:color w:val="1D6B44"/>
                <w:sz w:val="18"/>
                <w:szCs w:val="18"/>
              </w:rPr>
              <w:t xml:space="preserve">✓  </w:t>
            </w:r>
            <w:r>
              <w:rPr>
                <w:rFonts w:ascii="Arial" w:cs="Arial" w:eastAsia="Arial" w:hAnsi="Arial"/>
                <w:color w:val="333333"/>
                <w:sz w:val="18"/>
                <w:szCs w:val="18"/>
              </w:rPr>
              <w:t xml:space="preserve">Full agentic stack: tools, code, web, MCP connector</w:t>
            </w:r>
          </w:p>
          <w:p>
            <w:pPr>
              <w:spacing w:after="60"/>
            </w:pPr>
            <w:r>
              <w:rPr>
                <w:rFonts w:ascii="Arial" w:cs="Arial" w:eastAsia="Arial" w:hAnsi="Arial"/>
                <w:sz w:val="18"/>
                <w:szCs w:val="18"/>
              </w:rPr>
              <w:t xml:space="preserve">  </w:t>
            </w:r>
            <w:r>
              <w:rPr>
                <w:rFonts w:ascii="Arial" w:cs="Arial" w:eastAsia="Arial" w:hAnsi="Arial"/>
                <w:color w:val="1D6B44"/>
                <w:sz w:val="18"/>
                <w:szCs w:val="18"/>
              </w:rPr>
              <w:t xml:space="preserve">✓  </w:t>
            </w:r>
            <w:r>
              <w:rPr>
                <w:rFonts w:ascii="Arial" w:cs="Arial" w:eastAsia="Arial" w:hAnsi="Arial"/>
                <w:color w:val="333333"/>
                <w:sz w:val="18"/>
                <w:szCs w:val="18"/>
              </w:rPr>
              <w:t xml:space="preserve">Fastest path from prototype to production agent</w:t>
            </w:r>
          </w:p>
          <w:p>
            <w:pPr>
              <w:spacing w:after="60"/>
            </w:pPr>
            <w:r>
              <w:rPr>
                <w:rFonts w:ascii="Arial" w:cs="Arial" w:eastAsia="Arial" w:hAnsi="Arial"/>
                <w:sz w:val="18"/>
                <w:szCs w:val="18"/>
              </w:rPr>
              <w:t xml:space="preserve">  </w:t>
            </w:r>
            <w:r>
              <w:rPr>
                <w:rFonts w:ascii="Arial" w:cs="Arial" w:eastAsia="Arial" w:hAnsi="Arial"/>
                <w:color w:val="1D6B44"/>
                <w:sz w:val="18"/>
                <w:szCs w:val="18"/>
              </w:rPr>
              <w:t xml:space="preserve">✓  </w:t>
            </w:r>
            <w:r>
              <w:rPr>
                <w:rFonts w:ascii="Arial" w:cs="Arial" w:eastAsia="Arial" w:hAnsi="Arial"/>
                <w:color w:val="333333"/>
                <w:sz w:val="18"/>
                <w:szCs w:val="18"/>
              </w:rPr>
              <w:t xml:space="preserve">Built-in session state — no custom loop needed</w:t>
            </w:r>
          </w:p>
          <w:p>
            <w:pPr>
              <w:spacing w:after="60"/>
            </w:pPr>
            <w:r>
              <w:rPr>
                <w:rFonts w:ascii="Arial" w:cs="Arial" w:eastAsia="Arial" w:hAnsi="Arial"/>
                <w:sz w:val="18"/>
                <w:szCs w:val="18"/>
              </w:rPr>
              <w:t xml:space="preserve">  </w:t>
            </w:r>
            <w:r>
              <w:rPr>
                <w:rFonts w:ascii="Arial" w:cs="Arial" w:eastAsia="Arial" w:hAnsi="Arial"/>
                <w:color w:val="1D6B44"/>
                <w:sz w:val="18"/>
                <w:szCs w:val="18"/>
              </w:rPr>
              <w:t xml:space="preserve">✓  </w:t>
            </w:r>
            <w:r>
              <w:rPr>
                <w:rFonts w:ascii="Arial" w:cs="Arial" w:eastAsia="Arial" w:hAnsi="Arial"/>
                <w:color w:val="333333"/>
                <w:sz w:val="18"/>
                <w:szCs w:val="18"/>
              </w:rPr>
              <w:t xml:space="preserve">Can bill via AWS (Claude Platform on AWS)</w:t>
            </w:r>
          </w:p>
          <w:p>
            <w:pPr>
              <w:spacing w:after="60"/>
            </w:pPr>
            <w:r>
              <w:rPr>
                <w:rFonts w:ascii="Arial" w:cs="Arial" w:eastAsia="Arial" w:hAnsi="Arial"/>
                <w:sz w:val="18"/>
                <w:szCs w:val="18"/>
              </w:rPr>
              <w:t xml:space="preserve">  </w:t>
            </w:r>
            <w:r>
              <w:rPr>
                <w:rFonts w:ascii="Arial" w:cs="Arial" w:eastAsia="Arial" w:hAnsi="Arial"/>
                <w:color w:val="1D6B44"/>
                <w:sz w:val="18"/>
                <w:szCs w:val="18"/>
              </w:rPr>
              <w:t xml:space="preserve">✓  </w:t>
            </w:r>
            <w:r>
              <w:rPr>
                <w:rFonts w:ascii="Arial" w:cs="Arial" w:eastAsia="Arial" w:hAnsi="Arial"/>
                <w:color w:val="333333"/>
                <w:sz w:val="18"/>
                <w:szCs w:val="18"/>
              </w:rPr>
              <w:t xml:space="preserve">Isolated containers per session (gVisor)</w:t>
            </w:r>
          </w:p>
        </w:tc>
        <w:tc>
          <w:tcPr>
            <w:tcW w:type="dxa" w:w="4500"/>
            <w:tcBorders>
              <w:top w:val="single" w:color="CCCCCC" w:sz="1"/>
              <w:left w:val="single" w:color="CCCCCC" w:sz="1"/>
              <w:bottom w:val="single" w:color="CCCCCC" w:sz="1"/>
              <w:right w:val="single" w:color="CCCCCC" w:sz="1"/>
            </w:tcBorders>
            <w:shd w:fill="D6F0E0" w:val="clear"/>
            <w:tcMar>
              <w:top w:type="dxa" w:w="120"/>
              <w:left w:type="dxa" w:w="150"/>
              <w:bottom w:type="dxa" w:w="120"/>
              <w:right w:type="dxa" w:w="150"/>
            </w:tcMar>
          </w:tcPr>
          <w:p>
            <w:pPr>
              <w:spacing w:after="80"/>
            </w:pPr>
            <w:r>
              <w:rPr>
                <w:rFonts w:ascii="Arial" w:cs="Arial" w:eastAsia="Arial" w:hAnsi="Arial"/>
                <w:b/>
                <w:bCs/>
                <w:color w:val="1D6B44"/>
                <w:sz w:val="20"/>
                <w:szCs w:val="20"/>
              </w:rPr>
              <w:t xml:space="preserve">Pros</w:t>
            </w:r>
          </w:p>
          <w:p>
            <w:pPr>
              <w:spacing w:after="60"/>
            </w:pPr>
            <w:r>
              <w:rPr>
                <w:rFonts w:ascii="Arial" w:cs="Arial" w:eastAsia="Arial" w:hAnsi="Arial"/>
                <w:sz w:val="18"/>
                <w:szCs w:val="18"/>
              </w:rPr>
              <w:t xml:space="preserve">  </w:t>
            </w:r>
            <w:r>
              <w:rPr>
                <w:rFonts w:ascii="Arial" w:cs="Arial" w:eastAsia="Arial" w:hAnsi="Arial"/>
                <w:color w:val="1D6B44"/>
                <w:sz w:val="18"/>
                <w:szCs w:val="18"/>
              </w:rPr>
              <w:t xml:space="preserve">✓  </w:t>
            </w:r>
            <w:r>
              <w:rPr>
                <w:rFonts w:ascii="Arial" w:cs="Arial" w:eastAsia="Arial" w:hAnsi="Arial"/>
                <w:color w:val="333333"/>
                <w:sz w:val="18"/>
                <w:szCs w:val="18"/>
              </w:rPr>
              <w:t xml:space="preserve">Data stays inside AWS security boundary</w:t>
            </w:r>
          </w:p>
          <w:p>
            <w:pPr>
              <w:spacing w:after="60"/>
            </w:pPr>
            <w:r>
              <w:rPr>
                <w:rFonts w:ascii="Arial" w:cs="Arial" w:eastAsia="Arial" w:hAnsi="Arial"/>
                <w:sz w:val="18"/>
                <w:szCs w:val="18"/>
              </w:rPr>
              <w:t xml:space="preserve">  </w:t>
            </w:r>
            <w:r>
              <w:rPr>
                <w:rFonts w:ascii="Arial" w:cs="Arial" w:eastAsia="Arial" w:hAnsi="Arial"/>
                <w:color w:val="1D6B44"/>
                <w:sz w:val="18"/>
                <w:szCs w:val="18"/>
              </w:rPr>
              <w:t xml:space="preserve">✓  </w:t>
            </w:r>
            <w:r>
              <w:rPr>
                <w:rFonts w:ascii="Arial" w:cs="Arial" w:eastAsia="Arial" w:hAnsi="Arial"/>
                <w:color w:val="333333"/>
                <w:sz w:val="18"/>
                <w:szCs w:val="18"/>
              </w:rPr>
              <w:t xml:space="preserve">HIPAA, FedRAMP High, GDPR, SOC 2 compliant</w:t>
            </w:r>
          </w:p>
          <w:p>
            <w:pPr>
              <w:spacing w:after="60"/>
            </w:pPr>
            <w:r>
              <w:rPr>
                <w:rFonts w:ascii="Arial" w:cs="Arial" w:eastAsia="Arial" w:hAnsi="Arial"/>
                <w:sz w:val="18"/>
                <w:szCs w:val="18"/>
              </w:rPr>
              <w:t xml:space="preserve">  </w:t>
            </w:r>
            <w:r>
              <w:rPr>
                <w:rFonts w:ascii="Arial" w:cs="Arial" w:eastAsia="Arial" w:hAnsi="Arial"/>
                <w:color w:val="1D6B44"/>
                <w:sz w:val="18"/>
                <w:szCs w:val="18"/>
              </w:rPr>
              <w:t xml:space="preserve">✓  </w:t>
            </w:r>
            <w:r>
              <w:rPr>
                <w:rFonts w:ascii="Arial" w:cs="Arial" w:eastAsia="Arial" w:hAnsi="Arial"/>
                <w:color w:val="333333"/>
                <w:sz w:val="18"/>
                <w:szCs w:val="18"/>
              </w:rPr>
              <w:t xml:space="preserve">PrivateLink / VPC — no public internet API calls</w:t>
            </w:r>
          </w:p>
          <w:p>
            <w:pPr>
              <w:spacing w:after="60"/>
            </w:pPr>
            <w:r>
              <w:rPr>
                <w:rFonts w:ascii="Arial" w:cs="Arial" w:eastAsia="Arial" w:hAnsi="Arial"/>
                <w:sz w:val="18"/>
                <w:szCs w:val="18"/>
              </w:rPr>
              <w:t xml:space="preserve">  </w:t>
            </w:r>
            <w:r>
              <w:rPr>
                <w:rFonts w:ascii="Arial" w:cs="Arial" w:eastAsia="Arial" w:hAnsi="Arial"/>
                <w:color w:val="1D6B44"/>
                <w:sz w:val="18"/>
                <w:szCs w:val="18"/>
              </w:rPr>
              <w:t xml:space="preserve">✓  </w:t>
            </w:r>
            <w:r>
              <w:rPr>
                <w:rFonts w:ascii="Arial" w:cs="Arial" w:eastAsia="Arial" w:hAnsi="Arial"/>
                <w:color w:val="333333"/>
                <w:sz w:val="18"/>
                <w:szCs w:val="18"/>
              </w:rPr>
              <w:t xml:space="preserve">AWS Guardrails, Knowledge Bases, AgentCore available</w:t>
            </w:r>
          </w:p>
          <w:p>
            <w:pPr>
              <w:spacing w:after="60"/>
            </w:pPr>
            <w:r>
              <w:rPr>
                <w:rFonts w:ascii="Arial" w:cs="Arial" w:eastAsia="Arial" w:hAnsi="Arial"/>
                <w:sz w:val="18"/>
                <w:szCs w:val="18"/>
              </w:rPr>
              <w:t xml:space="preserve">  </w:t>
            </w:r>
            <w:r>
              <w:rPr>
                <w:rFonts w:ascii="Arial" w:cs="Arial" w:eastAsia="Arial" w:hAnsi="Arial"/>
                <w:color w:val="1D6B44"/>
                <w:sz w:val="18"/>
                <w:szCs w:val="18"/>
              </w:rPr>
              <w:t xml:space="preserve">✓  </w:t>
            </w:r>
            <w:r>
              <w:rPr>
                <w:rFonts w:ascii="Arial" w:cs="Arial" w:eastAsia="Arial" w:hAnsi="Arial"/>
                <w:color w:val="333333"/>
                <w:sz w:val="18"/>
                <w:szCs w:val="18"/>
              </w:rPr>
              <w:t xml:space="preserve">Multi-model: Llama, Mistral, Titan, and others</w:t>
            </w:r>
          </w:p>
          <w:p>
            <w:pPr>
              <w:spacing w:after="60"/>
            </w:pPr>
            <w:r>
              <w:rPr>
                <w:rFonts w:ascii="Arial" w:cs="Arial" w:eastAsia="Arial" w:hAnsi="Arial"/>
                <w:sz w:val="18"/>
                <w:szCs w:val="18"/>
              </w:rPr>
              <w:t xml:space="preserve">  </w:t>
            </w:r>
            <w:r>
              <w:rPr>
                <w:rFonts w:ascii="Arial" w:cs="Arial" w:eastAsia="Arial" w:hAnsi="Arial"/>
                <w:color w:val="1D6B44"/>
                <w:sz w:val="18"/>
                <w:szCs w:val="18"/>
              </w:rPr>
              <w:t xml:space="preserve">✓  </w:t>
            </w:r>
            <w:r>
              <w:rPr>
                <w:rFonts w:ascii="Arial" w:cs="Arial" w:eastAsia="Arial" w:hAnsi="Arial"/>
                <w:color w:val="333333"/>
                <w:sz w:val="18"/>
                <w:szCs w:val="18"/>
              </w:rPr>
              <w:t xml:space="preserve">Deep AWS service integrations (Lambda, S3, CloudWatch)</w:t>
            </w:r>
          </w:p>
        </w:tc>
      </w:tr>
      <w:tr>
        <w:tc>
          <w:tcPr>
            <w:tcW w:type="dxa" w:w="4500"/>
            <w:tcBorders>
              <w:top w:val="single" w:color="CCCCCC" w:sz="1"/>
              <w:left w:val="single" w:color="CCCCCC" w:sz="1"/>
              <w:bottom w:val="single" w:color="CCCCCC" w:sz="1"/>
              <w:right w:val="single" w:color="CCCCCC" w:sz="1"/>
            </w:tcBorders>
            <w:shd w:fill="FDEAEA" w:val="clear"/>
            <w:tcMar>
              <w:top w:type="dxa" w:w="120"/>
              <w:left w:type="dxa" w:w="150"/>
              <w:bottom w:type="dxa" w:w="120"/>
              <w:right w:type="dxa" w:w="150"/>
            </w:tcMar>
          </w:tcPr>
          <w:p>
            <w:pPr>
              <w:spacing w:after="80"/>
            </w:pPr>
            <w:r>
              <w:rPr>
                <w:rFonts w:ascii="Arial" w:cs="Arial" w:eastAsia="Arial" w:hAnsi="Arial"/>
                <w:b/>
                <w:bCs/>
                <w:color w:val="A32D2D"/>
                <w:sz w:val="20"/>
                <w:szCs w:val="20"/>
              </w:rPr>
              <w:t xml:space="preserve">Cons</w:t>
            </w:r>
          </w:p>
          <w:p>
            <w:pPr>
              <w:spacing w:after="60"/>
            </w:pPr>
            <w:r>
              <w:rPr>
                <w:rFonts w:ascii="Arial" w:cs="Arial" w:eastAsia="Arial" w:hAnsi="Arial"/>
                <w:sz w:val="18"/>
                <w:szCs w:val="18"/>
              </w:rPr>
              <w:t xml:space="preserve">  </w:t>
            </w:r>
            <w:r>
              <w:rPr>
                <w:rFonts w:ascii="Arial" w:cs="Arial" w:eastAsia="Arial" w:hAnsi="Arial"/>
                <w:color w:val="A32D2D"/>
                <w:sz w:val="18"/>
                <w:szCs w:val="18"/>
              </w:rPr>
              <w:t xml:space="preserve">✗  </w:t>
            </w:r>
            <w:r>
              <w:rPr>
                <w:rFonts w:ascii="Arial" w:cs="Arial" w:eastAsia="Arial" w:hAnsi="Arial"/>
                <w:color w:val="333333"/>
                <w:sz w:val="18"/>
                <w:szCs w:val="18"/>
              </w:rPr>
              <w:t xml:space="preserve">Data processed outside AWS security boundary</w:t>
            </w:r>
          </w:p>
          <w:p>
            <w:pPr>
              <w:spacing w:after="60"/>
            </w:pPr>
            <w:r>
              <w:rPr>
                <w:rFonts w:ascii="Arial" w:cs="Arial" w:eastAsia="Arial" w:hAnsi="Arial"/>
                <w:sz w:val="18"/>
                <w:szCs w:val="18"/>
              </w:rPr>
              <w:t xml:space="preserve">  </w:t>
            </w:r>
            <w:r>
              <w:rPr>
                <w:rFonts w:ascii="Arial" w:cs="Arial" w:eastAsia="Arial" w:hAnsi="Arial"/>
                <w:color w:val="A32D2D"/>
                <w:sz w:val="18"/>
                <w:szCs w:val="18"/>
              </w:rPr>
              <w:t xml:space="preserve">✗  </w:t>
            </w:r>
            <w:r>
              <w:rPr>
                <w:rFonts w:ascii="Arial" w:cs="Arial" w:eastAsia="Arial" w:hAnsi="Arial"/>
                <w:color w:val="333333"/>
                <w:sz w:val="18"/>
                <w:szCs w:val="18"/>
              </w:rPr>
              <w:t xml:space="preserve">No AWS Guardrails or Knowledge Bases</w:t>
            </w:r>
          </w:p>
          <w:p>
            <w:pPr>
              <w:spacing w:after="60"/>
            </w:pPr>
            <w:r>
              <w:rPr>
                <w:rFonts w:ascii="Arial" w:cs="Arial" w:eastAsia="Arial" w:hAnsi="Arial"/>
                <w:sz w:val="18"/>
                <w:szCs w:val="18"/>
              </w:rPr>
              <w:t xml:space="preserve">  </w:t>
            </w:r>
            <w:r>
              <w:rPr>
                <w:rFonts w:ascii="Arial" w:cs="Arial" w:eastAsia="Arial" w:hAnsi="Arial"/>
                <w:color w:val="A32D2D"/>
                <w:sz w:val="18"/>
                <w:szCs w:val="18"/>
              </w:rPr>
              <w:t xml:space="preserve">✗  </w:t>
            </w:r>
            <w:r>
              <w:rPr>
                <w:rFonts w:ascii="Arial" w:cs="Arial" w:eastAsia="Arial" w:hAnsi="Arial"/>
                <w:color w:val="333333"/>
                <w:sz w:val="18"/>
                <w:szCs w:val="18"/>
              </w:rPr>
              <w:t xml:space="preserve">No PrivateLink / VPC endpoint support</w:t>
            </w:r>
          </w:p>
          <w:p>
            <w:pPr>
              <w:spacing w:after="60"/>
            </w:pPr>
            <w:r>
              <w:rPr>
                <w:rFonts w:ascii="Arial" w:cs="Arial" w:eastAsia="Arial" w:hAnsi="Arial"/>
                <w:sz w:val="18"/>
                <w:szCs w:val="18"/>
              </w:rPr>
              <w:t xml:space="preserve">  </w:t>
            </w:r>
            <w:r>
              <w:rPr>
                <w:rFonts w:ascii="Arial" w:cs="Arial" w:eastAsia="Arial" w:hAnsi="Arial"/>
                <w:color w:val="A32D2D"/>
                <w:sz w:val="18"/>
                <w:szCs w:val="18"/>
              </w:rPr>
              <w:t xml:space="preserve">✗  </w:t>
            </w:r>
            <w:r>
              <w:rPr>
                <w:rFonts w:ascii="Arial" w:cs="Arial" w:eastAsia="Arial" w:hAnsi="Arial"/>
                <w:color w:val="333333"/>
                <w:sz w:val="18"/>
                <w:szCs w:val="18"/>
              </w:rPr>
              <w:t xml:space="preserve">Extra $0.08/session-hour runtime fee on top of tokens</w:t>
            </w:r>
          </w:p>
          <w:p>
            <w:pPr>
              <w:spacing w:after="60"/>
            </w:pPr>
            <w:r>
              <w:rPr>
                <w:rFonts w:ascii="Arial" w:cs="Arial" w:eastAsia="Arial" w:hAnsi="Arial"/>
                <w:sz w:val="18"/>
                <w:szCs w:val="18"/>
              </w:rPr>
              <w:t xml:space="preserve">  </w:t>
            </w:r>
            <w:r>
              <w:rPr>
                <w:rFonts w:ascii="Arial" w:cs="Arial" w:eastAsia="Arial" w:hAnsi="Arial"/>
                <w:color w:val="A32D2D"/>
                <w:sz w:val="18"/>
                <w:szCs w:val="18"/>
              </w:rPr>
              <w:t xml:space="preserve">✗  </w:t>
            </w:r>
            <w:r>
              <w:rPr>
                <w:rFonts w:ascii="Arial" w:cs="Arial" w:eastAsia="Arial" w:hAnsi="Arial"/>
                <w:color w:val="333333"/>
                <w:sz w:val="18"/>
                <w:szCs w:val="18"/>
              </w:rPr>
              <w:t xml:space="preserve">Claude only — no multi-model support</w:t>
            </w:r>
          </w:p>
        </w:tc>
        <w:tc>
          <w:tcPr>
            <w:tcW w:type="dxa" w:w="4500"/>
            <w:tcBorders>
              <w:top w:val="single" w:color="CCCCCC" w:sz="1"/>
              <w:left w:val="single" w:color="CCCCCC" w:sz="1"/>
              <w:bottom w:val="single" w:color="CCCCCC" w:sz="1"/>
              <w:right w:val="single" w:color="CCCCCC" w:sz="1"/>
            </w:tcBorders>
            <w:shd w:fill="FDEAEA" w:val="clear"/>
            <w:tcMar>
              <w:top w:type="dxa" w:w="120"/>
              <w:left w:type="dxa" w:w="150"/>
              <w:bottom w:type="dxa" w:w="120"/>
              <w:right w:type="dxa" w:w="150"/>
            </w:tcMar>
          </w:tcPr>
          <w:p>
            <w:pPr>
              <w:spacing w:after="80"/>
            </w:pPr>
            <w:r>
              <w:rPr>
                <w:rFonts w:ascii="Arial" w:cs="Arial" w:eastAsia="Arial" w:hAnsi="Arial"/>
                <w:b/>
                <w:bCs/>
                <w:color w:val="A32D2D"/>
                <w:sz w:val="20"/>
                <w:szCs w:val="20"/>
              </w:rPr>
              <w:t xml:space="preserve">Cons</w:t>
            </w:r>
          </w:p>
          <w:p>
            <w:pPr>
              <w:spacing w:after="60"/>
            </w:pPr>
            <w:r>
              <w:rPr>
                <w:rFonts w:ascii="Arial" w:cs="Arial" w:eastAsia="Arial" w:hAnsi="Arial"/>
                <w:sz w:val="18"/>
                <w:szCs w:val="18"/>
              </w:rPr>
              <w:t xml:space="preserve">  </w:t>
            </w:r>
            <w:r>
              <w:rPr>
                <w:rFonts w:ascii="Arial" w:cs="Arial" w:eastAsia="Arial" w:hAnsi="Arial"/>
                <w:color w:val="A32D2D"/>
                <w:sz w:val="18"/>
                <w:szCs w:val="18"/>
              </w:rPr>
              <w:t xml:space="preserve">✗  </w:t>
            </w:r>
            <w:r>
              <w:rPr>
                <w:rFonts w:ascii="Arial" w:cs="Arial" w:eastAsia="Arial" w:hAnsi="Arial"/>
                <w:color w:val="333333"/>
                <w:sz w:val="18"/>
                <w:szCs w:val="18"/>
              </w:rPr>
              <w:t xml:space="preserve">Claude Managed Agents not yet available</w:t>
            </w:r>
          </w:p>
          <w:p>
            <w:pPr>
              <w:spacing w:after="60"/>
            </w:pPr>
            <w:r>
              <w:rPr>
                <w:rFonts w:ascii="Arial" w:cs="Arial" w:eastAsia="Arial" w:hAnsi="Arial"/>
                <w:sz w:val="18"/>
                <w:szCs w:val="18"/>
              </w:rPr>
              <w:t xml:space="preserve">  </w:t>
            </w:r>
            <w:r>
              <w:rPr>
                <w:rFonts w:ascii="Arial" w:cs="Arial" w:eastAsia="Arial" w:hAnsi="Arial"/>
                <w:color w:val="A32D2D"/>
                <w:sz w:val="18"/>
                <w:szCs w:val="18"/>
              </w:rPr>
              <w:t xml:space="preserve">✗  </w:t>
            </w:r>
            <w:r>
              <w:rPr>
                <w:rFonts w:ascii="Arial" w:cs="Arial" w:eastAsia="Arial" w:hAnsi="Arial"/>
                <w:color w:val="333333"/>
                <w:sz w:val="18"/>
                <w:szCs w:val="18"/>
              </w:rPr>
              <w:t xml:space="preserve">New Anthropic features lag by weeks to months</w:t>
            </w:r>
          </w:p>
          <w:p>
            <w:pPr>
              <w:spacing w:after="60"/>
            </w:pPr>
            <w:r>
              <w:rPr>
                <w:rFonts w:ascii="Arial" w:cs="Arial" w:eastAsia="Arial" w:hAnsi="Arial"/>
                <w:sz w:val="18"/>
                <w:szCs w:val="18"/>
              </w:rPr>
              <w:t xml:space="preserve">  </w:t>
            </w:r>
            <w:r>
              <w:rPr>
                <w:rFonts w:ascii="Arial" w:cs="Arial" w:eastAsia="Arial" w:hAnsi="Arial"/>
                <w:color w:val="A32D2D"/>
                <w:sz w:val="18"/>
                <w:szCs w:val="18"/>
              </w:rPr>
              <w:t xml:space="preserve">✗  </w:t>
            </w:r>
            <w:r>
              <w:rPr>
                <w:rFonts w:ascii="Arial" w:cs="Arial" w:eastAsia="Arial" w:hAnsi="Arial"/>
                <w:color w:val="333333"/>
                <w:sz w:val="18"/>
                <w:szCs w:val="18"/>
              </w:rPr>
              <w:t xml:space="preserve">No native MCP connector or Skills API</w:t>
            </w:r>
          </w:p>
          <w:p>
            <w:pPr>
              <w:spacing w:after="60"/>
            </w:pPr>
            <w:r>
              <w:rPr>
                <w:rFonts w:ascii="Arial" w:cs="Arial" w:eastAsia="Arial" w:hAnsi="Arial"/>
                <w:sz w:val="18"/>
                <w:szCs w:val="18"/>
              </w:rPr>
              <w:t xml:space="preserve">  </w:t>
            </w:r>
            <w:r>
              <w:rPr>
                <w:rFonts w:ascii="Arial" w:cs="Arial" w:eastAsia="Arial" w:hAnsi="Arial"/>
                <w:color w:val="A32D2D"/>
                <w:sz w:val="18"/>
                <w:szCs w:val="18"/>
              </w:rPr>
              <w:t xml:space="preserve">✗  </w:t>
            </w:r>
            <w:r>
              <w:rPr>
                <w:rFonts w:ascii="Arial" w:cs="Arial" w:eastAsia="Arial" w:hAnsi="Arial"/>
                <w:color w:val="333333"/>
                <w:sz w:val="18"/>
                <w:szCs w:val="18"/>
              </w:rPr>
              <w:t xml:space="preserve">No built-in web search or code execution</w:t>
            </w:r>
          </w:p>
          <w:p>
            <w:pPr>
              <w:spacing w:after="60"/>
            </w:pPr>
            <w:r>
              <w:rPr>
                <w:rFonts w:ascii="Arial" w:cs="Arial" w:eastAsia="Arial" w:hAnsi="Arial"/>
                <w:sz w:val="18"/>
                <w:szCs w:val="18"/>
              </w:rPr>
              <w:t xml:space="preserve">  </w:t>
            </w:r>
            <w:r>
              <w:rPr>
                <w:rFonts w:ascii="Arial" w:cs="Arial" w:eastAsia="Arial" w:hAnsi="Arial"/>
                <w:color w:val="A32D2D"/>
                <w:sz w:val="18"/>
                <w:szCs w:val="18"/>
              </w:rPr>
              <w:t xml:space="preserve">✗  </w:t>
            </w:r>
            <w:r>
              <w:rPr>
                <w:rFonts w:ascii="Arial" w:cs="Arial" w:eastAsia="Arial" w:hAnsi="Arial"/>
                <w:color w:val="333333"/>
                <w:sz w:val="18"/>
                <w:szCs w:val="18"/>
              </w:rPr>
              <w:t xml:space="preserve">Less tight Anthropic Console integration</w:t>
            </w:r>
          </w:p>
        </w:tc>
      </w:tr>
    </w:tbl>
    <w:p>
      <w:pPr>
        <w:spacing w:after="80"/>
      </w:pPr>
      <w:r>
        <w:t xml:space="preserve"/>
      </w:r>
    </w:p>
    <w:p>
      <w:pPr>
        <w:pStyle w:val="Heading2"/>
        <w:spacing w:after="100" w:before="240"/>
      </w:pPr>
      <w:r>
        <w:rPr>
          <w:rFonts w:ascii="Arial" w:cs="Arial" w:eastAsia="Arial" w:hAnsi="Arial"/>
          <w:b/>
          <w:bCs/>
          <w:color w:val="1B3A6B"/>
          <w:sz w:val="26"/>
          <w:szCs w:val="26"/>
        </w:rPr>
        <w:t xml:space="preserve">When to Choose Each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185FA5" w:val="clear"/>
            <w:tcMar>
              <w:top w:type="dxa" w:w="80"/>
              <w:left w:type="dxa" w:w="150"/>
              <w:bottom w:type="dxa" w:w="80"/>
              <w:right w:type="dxa" w:w="150"/>
            </w:tcMar>
          </w:tcPr>
          <w:p>
            <w:pPr>
              <w:jc w:val="center"/>
            </w:pPr>
            <w:r>
              <w:rPr>
                <w:rFonts w:ascii="Arial" w:cs="Arial" w:eastAsia="Arial" w:hAnsi="Arial"/>
                <w:b/>
                <w:bCs/>
                <w:color w:val="FFFFFF"/>
                <w:sz w:val="22"/>
                <w:szCs w:val="22"/>
              </w:rPr>
              <w:t xml:space="preserve">Choose Claude Managed Agents if...</w:t>
            </w:r>
          </w:p>
        </w:tc>
        <w:tc>
          <w:tcPr>
            <w:tcW w:type="dxa" w:w="4500"/>
            <w:tcBorders>
              <w:top w:val="single" w:color="CCCCCC" w:sz="1"/>
              <w:left w:val="single" w:color="CCCCCC" w:sz="1"/>
              <w:bottom w:val="single" w:color="CCCCCC" w:sz="1"/>
              <w:right w:val="single" w:color="CCCCCC" w:sz="1"/>
            </w:tcBorders>
            <w:shd w:fill="854F0B" w:val="clear"/>
            <w:tcMar>
              <w:top w:type="dxa" w:w="80"/>
              <w:left w:type="dxa" w:w="150"/>
              <w:bottom w:type="dxa" w:w="80"/>
              <w:right w:type="dxa" w:w="150"/>
            </w:tcMar>
          </w:tcPr>
          <w:p>
            <w:pPr>
              <w:jc w:val="center"/>
            </w:pPr>
            <w:r>
              <w:rPr>
                <w:rFonts w:ascii="Arial" w:cs="Arial" w:eastAsia="Arial" w:hAnsi="Arial"/>
                <w:b/>
                <w:bCs/>
                <w:color w:val="FFFFFF"/>
                <w:sz w:val="22"/>
                <w:szCs w:val="22"/>
              </w:rPr>
              <w:t xml:space="preserve">Choose Amazon Bedrock if...</w:t>
            </w:r>
          </w:p>
        </w:tc>
      </w:tr>
      <w:tr>
        <w:tc>
          <w:tcPr>
            <w:tcW w:type="dxa" w:w="45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pPr>
              <w:spacing w:after="60"/>
            </w:pPr>
            <w:r>
              <w:rPr>
                <w:rFonts w:ascii="Arial" w:cs="Arial" w:eastAsia="Arial" w:hAnsi="Arial"/>
                <w:color w:val="1D6B44"/>
                <w:sz w:val="20"/>
                <w:szCs w:val="20"/>
              </w:rPr>
              <w:t xml:space="preserve">✓  You want day-one access to all Anthropic features</w:t>
            </w:r>
          </w:p>
          <w:p>
            <w:pPr>
              <w:spacing w:after="60"/>
            </w:pPr>
            <w:r>
              <w:rPr>
                <w:rFonts w:ascii="Arial" w:cs="Arial" w:eastAsia="Arial" w:hAnsi="Arial"/>
                <w:color w:val="1D6B44"/>
                <w:sz w:val="20"/>
                <w:szCs w:val="20"/>
              </w:rPr>
              <w:t xml:space="preserve">✓  You are building autonomous agents with long-running tasks</w:t>
            </w:r>
          </w:p>
          <w:p>
            <w:pPr>
              <w:spacing w:after="60"/>
            </w:pPr>
            <w:r>
              <w:rPr>
                <w:rFonts w:ascii="Arial" w:cs="Arial" w:eastAsia="Arial" w:hAnsi="Arial"/>
                <w:color w:val="1D6B44"/>
                <w:sz w:val="20"/>
                <w:szCs w:val="20"/>
              </w:rPr>
              <w:t xml:space="preserve">✓  You need MCP connectors, Skills, or the Files API</w:t>
            </w:r>
          </w:p>
          <w:p>
            <w:pPr>
              <w:spacing w:after="60"/>
            </w:pPr>
            <w:r>
              <w:rPr>
                <w:rFonts w:ascii="Arial" w:cs="Arial" w:eastAsia="Arial" w:hAnsi="Arial"/>
                <w:color w:val="1D6B44"/>
                <w:sz w:val="20"/>
                <w:szCs w:val="20"/>
              </w:rPr>
              <w:t xml:space="preserve">✓  You want built-in code execution or web search</w:t>
            </w:r>
          </w:p>
          <w:p>
            <w:pPr>
              <w:spacing w:after="60"/>
            </w:pPr>
            <w:r>
              <w:rPr>
                <w:rFonts w:ascii="Arial" w:cs="Arial" w:eastAsia="Arial" w:hAnsi="Arial"/>
                <w:color w:val="1D6B44"/>
                <w:sz w:val="20"/>
                <w:szCs w:val="20"/>
              </w:rPr>
              <w:t xml:space="preserve">✓  You want the shortest path from prototype to production</w:t>
            </w:r>
          </w:p>
          <w:p>
            <w:pPr>
              <w:spacing w:after="60"/>
            </w:pPr>
            <w:r>
              <w:rPr>
                <w:rFonts w:ascii="Arial" w:cs="Arial" w:eastAsia="Arial" w:hAnsi="Arial"/>
                <w:color w:val="1D6B44"/>
                <w:sz w:val="20"/>
                <w:szCs w:val="20"/>
              </w:rPr>
              <w:t xml:space="preserve">✓  You are already billing through AWS (use Claude Platform on AWS)</w:t>
            </w:r>
          </w:p>
        </w:tc>
        <w:tc>
          <w:tcPr>
            <w:tcW w:type="dxa" w:w="45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pPr>
              <w:spacing w:after="60"/>
            </w:pPr>
            <w:r>
              <w:rPr>
                <w:rFonts w:ascii="Arial" w:cs="Arial" w:eastAsia="Arial" w:hAnsi="Arial"/>
                <w:color w:val="1D6B44"/>
                <w:sz w:val="20"/>
                <w:szCs w:val="20"/>
              </w:rPr>
              <w:t xml:space="preserve">✓  You need data to stay inside the AWS security boundary</w:t>
            </w:r>
          </w:p>
          <w:p>
            <w:pPr>
              <w:spacing w:after="60"/>
            </w:pPr>
            <w:r>
              <w:rPr>
                <w:rFonts w:ascii="Arial" w:cs="Arial" w:eastAsia="Arial" w:hAnsi="Arial"/>
                <w:color w:val="1D6B44"/>
                <w:sz w:val="20"/>
                <w:szCs w:val="20"/>
              </w:rPr>
              <w:t xml:space="preserve">✓  HIPAA, FedRAMP High, or GDPR compliance is required</w:t>
            </w:r>
          </w:p>
          <w:p>
            <w:pPr>
              <w:spacing w:after="60"/>
            </w:pPr>
            <w:r>
              <w:rPr>
                <w:rFonts w:ascii="Arial" w:cs="Arial" w:eastAsia="Arial" w:hAnsi="Arial"/>
                <w:color w:val="1D6B44"/>
                <w:sz w:val="20"/>
                <w:szCs w:val="20"/>
              </w:rPr>
              <w:t xml:space="preserve">✓  Your CISO requires VPC endpoints / PrivateLink (no public internet)</w:t>
            </w:r>
          </w:p>
          <w:p>
            <w:pPr>
              <w:spacing w:after="60"/>
            </w:pPr>
            <w:r>
              <w:rPr>
                <w:rFonts w:ascii="Arial" w:cs="Arial" w:eastAsia="Arial" w:hAnsi="Arial"/>
                <w:color w:val="1D6B44"/>
                <w:sz w:val="20"/>
                <w:szCs w:val="20"/>
              </w:rPr>
              <w:t xml:space="preserve">✓  You use AWS Guardrails or Knowledge Bases</w:t>
            </w:r>
          </w:p>
          <w:p>
            <w:pPr>
              <w:spacing w:after="60"/>
            </w:pPr>
            <w:r>
              <w:rPr>
                <w:rFonts w:ascii="Arial" w:cs="Arial" w:eastAsia="Arial" w:hAnsi="Arial"/>
                <w:color w:val="1D6B44"/>
                <w:sz w:val="20"/>
                <w:szCs w:val="20"/>
              </w:rPr>
              <w:t xml:space="preserve">✓  Your team already uses multiple foundation models via Bedrock</w:t>
            </w:r>
          </w:p>
          <w:p>
            <w:pPr>
              <w:spacing w:after="60"/>
            </w:pPr>
            <w:r>
              <w:rPr>
                <w:rFonts w:ascii="Arial" w:cs="Arial" w:eastAsia="Arial" w:hAnsi="Arial"/>
                <w:color w:val="1D6B44"/>
                <w:sz w:val="20"/>
                <w:szCs w:val="20"/>
              </w:rPr>
              <w:t xml:space="preserve">✓  Your workload is pure inference (no agentic features needed)</w:t>
            </w:r>
          </w:p>
        </w:tc>
      </w:tr>
    </w:tbl>
    <w:p>
      <w:pPr>
        <w:spacing w:after="80"/>
      </w:pPr>
      <w:r>
        <w:t xml:space="preserve"/>
      </w:r>
    </w:p>
    <w:p>
      <w:pPr>
        <w:pStyle w:val="Heading2"/>
        <w:spacing w:after="100" w:before="240"/>
      </w:pPr>
      <w:r>
        <w:rPr>
          <w:rFonts w:ascii="Arial" w:cs="Arial" w:eastAsia="Arial" w:hAnsi="Arial"/>
          <w:b/>
          <w:bCs/>
          <w:color w:val="1B3A6B"/>
          <w:sz w:val="26"/>
          <w:szCs w:val="26"/>
        </w:rPr>
        <w:t xml:space="preserve">Pricing Summary</w:t>
      </w:r>
    </w:p>
    <w:p>
      <w:pPr>
        <w:spacing w:after="120"/>
      </w:pPr>
      <w:r>
        <w:rPr>
          <w:rFonts w:ascii="Arial" w:cs="Arial" w:eastAsia="Arial" w:hAnsi="Arial"/>
          <w:color w:val="333333"/>
          <w:sz w:val="22"/>
          <w:szCs w:val="22"/>
        </w:rPr>
        <w:t xml:space="preserve">Token pricing is identical across all paths. The key difference is the additional runtime cost for Managed Agents.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Model</w:t>
            </w:r>
          </w:p>
        </w:tc>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Input (per 1M tokens)</w:t>
            </w:r>
          </w:p>
        </w:tc>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Output (per 1M tokens)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333333"/>
                <w:sz w:val="20"/>
                <w:szCs w:val="20"/>
              </w:rPr>
              <w:t xml:space="preserve">Claude Haiku 4.5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$1.00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$5.00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color w:val="333333"/>
                <w:sz w:val="20"/>
                <w:szCs w:val="20"/>
              </w:rPr>
              <w:t xml:space="preserve">Claude Sonnet 4.6</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$3.00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$15.00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333333"/>
                <w:sz w:val="20"/>
                <w:szCs w:val="20"/>
              </w:rPr>
              <w:t xml:space="preserve">Claude Opus 4.7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$25.00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left"/>
            </w:pPr>
            <w:r>
              <w:rPr>
                <w:rFonts w:ascii="Arial" w:cs="Arial" w:eastAsia="Arial" w:hAnsi="Arial"/>
                <w:b/>
                <w:bCs/>
                <w:color w:val="333333"/>
                <w:sz w:val="20"/>
                <w:szCs w:val="20"/>
              </w:rPr>
              <w:t xml:space="preserve">Managed Agents runtime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+$0.08 / session-hour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n/a</w:t>
            </w:r>
          </w:p>
        </w:tc>
      </w:tr>
    </w:tbl>
    <w:p>
      <w:pPr>
        <w:spacing w:after="80" w:before="80"/>
      </w:pPr>
      <w:r>
        <w:rPr>
          <w:rFonts w:ascii="Arial" w:cs="Arial" w:eastAsia="Arial" w:hAnsi="Arial"/>
          <w:i/>
          <w:iCs/>
          <w:color w:val="666666"/>
          <w:sz w:val="18"/>
          <w:szCs w:val="18"/>
        </w:rPr>
        <w:t xml:space="preserve">Note: Batch processing is 50% cheaper. Prompt caching reduces input costs by up to 90%.</w:t>
      </w:r>
    </w:p>
    <w:p>
      <w:pPr>
        <w:spacing w:after="80"/>
      </w:pPr>
      <w:r>
        <w:t xml:space="preserve"/>
      </w:r>
    </w:p>
    <w:p>
      <w:pPr>
        <w:pStyle w:val="Heading2"/>
        <w:spacing w:after="100" w:before="240"/>
      </w:pPr>
      <w:r>
        <w:rPr>
          <w:rFonts w:ascii="Arial" w:cs="Arial" w:eastAsia="Arial" w:hAnsi="Arial"/>
          <w:b/>
          <w:bCs/>
          <w:color w:val="1B3A6B"/>
          <w:sz w:val="26"/>
          <w:szCs w:val="26"/>
        </w:rPr>
        <w:t xml:space="preserve">Verdict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185FA5" w:sz="12"/>
              <w:bottom w:val="single" w:color="CCCCCC" w:sz="1"/>
              <w:right w:val="single" w:color="CCCCCC" w:sz="1"/>
            </w:tcBorders>
            <w:shd w:fill="D5E8F0" w:val="clear"/>
            <w:tcMar>
              <w:top w:type="dxa" w:w="140"/>
              <w:left w:type="dxa" w:w="200"/>
              <w:bottom w:type="dxa" w:w="140"/>
              <w:right w:type="dxa" w:w="200"/>
            </w:tcMar>
          </w:tcPr>
          <w:p>
            <w:pPr>
              <w:spacing w:after="80"/>
            </w:pPr>
            <w:r>
              <w:rPr>
                <w:rFonts w:ascii="Arial" w:cs="Arial" w:eastAsia="Arial" w:hAnsi="Arial"/>
                <w:b/>
                <w:bCs/>
                <w:color w:val="1B3A6B"/>
                <w:sz w:val="22"/>
                <w:szCs w:val="22"/>
              </w:rPr>
              <w:t xml:space="preserve">Bottom Line</w:t>
            </w:r>
          </w:p>
          <w:p>
            <w:pPr>
              <w:spacing w:after="80"/>
            </w:pPr>
            <w:r>
              <w:rPr>
                <w:rFonts w:ascii="Arial" w:cs="Arial" w:eastAsia="Arial" w:hAnsi="Arial"/>
                <w:color w:val="333333"/>
                <w:sz w:val="20"/>
                <w:szCs w:val="20"/>
              </w:rPr>
              <w:t xml:space="preserve">Token prices are identical across both paths. The decision comes down to two things:</w:t>
            </w:r>
          </w:p>
          <w:p>
            <w:pPr>
              <w:spacing w:after="60"/>
            </w:pPr>
            <w:r>
              <w:rPr>
                <w:rFonts w:ascii="Arial" w:cs="Arial" w:eastAsia="Arial" w:hAnsi="Arial"/>
                <w:color w:val="333333"/>
                <w:sz w:val="20"/>
                <w:szCs w:val="20"/>
              </w:rPr>
              <w:t xml:space="preserve">  •  Compliance needs: If your company is in healthcare, finance, or government and requires data inside the AWS boundary, VPC endpoints, or FedRAMP — choose Bedrock.</w:t>
            </w:r>
          </w:p>
          <w:p>
            <w:pPr>
              <w:spacing w:after="60"/>
            </w:pPr>
            <w:r>
              <w:rPr>
                <w:rFonts w:ascii="Arial" w:cs="Arial" w:eastAsia="Arial" w:hAnsi="Arial"/>
                <w:color w:val="333333"/>
                <w:sz w:val="20"/>
                <w:szCs w:val="20"/>
              </w:rPr>
              <w:t xml:space="preserve">  •  Feature needs: If you want to build and deploy agents with the full Claude toolset today (MCP, code execution, Skills, Managed Agents) — choose Claude Platform on AWS or the direct Claude API.</w:t>
            </w:r>
          </w:p>
          <w:p>
            <w:pPr>
              <w:spacing w:after="40"/>
            </w:pPr>
            <w:r>
              <w:rPr>
                <w:rFonts w:ascii="Arial" w:cs="Arial" w:eastAsia="Arial" w:hAnsi="Arial"/>
                <w:color w:val="333333"/>
                <w:sz w:val="20"/>
                <w:szCs w:val="20"/>
              </w:rPr>
              <w:t xml:space="preserve">Many enterprises use both: Bedrock for compliance-sensitive inference workloads, and Claude Managed Agents for agentic development.</w:t>
            </w:r>
          </w:p>
        </w:tc>
      </w:tr>
    </w:tbl>
    <w:p>
      <w:pPr>
        <w:spacing w:after="80"/>
      </w:pPr>
      <w:r>
        <w:t xml:space="preserve"/>
      </w:r>
    </w:p>
    <w:p>
      <w:pPr>
        <w:spacing w:before="160"/>
      </w:pPr>
      <w:r>
        <w:rPr>
          <w:rFonts w:ascii="Arial" w:cs="Arial" w:eastAsia="Arial" w:hAnsi="Arial"/>
          <w:i/>
          <w:iCs/>
          <w:color w:val="999999"/>
          <w:sz w:val="17"/>
          <w:szCs w:val="17"/>
        </w:rPr>
        <w:t xml:space="preserve">Sources: platform.claude.ai/docs, aws.amazon.com/bedrock, anthropic.com/news — May 2026</w:t>
      </w:r>
    </w:p>
    <w:p>
      <w:r>
        <w:br w:type="page"/>
      </w:r>
    </w:p>
    <w:p>
      <w:pPr>
        <w:spacing w:after="80" w:before="0"/>
      </w:pPr>
      <w:r>
        <w:rPr>
          <w:rFonts w:ascii="Arial" w:cs="Arial" w:eastAsia="Arial" w:hAnsi="Arial"/>
          <w:b/>
          <w:bCs/>
          <w:color w:val="1B3A6B"/>
          <w:sz w:val="48"/>
          <w:szCs w:val="48"/>
        </w:rPr>
        <w:t xml:space="preserve">Architecture Reference</w:t>
      </w:r>
    </w:p>
    <w:p>
      <w:pPr>
        <w:pBdr>
          <w:bottom w:val="single" w:color="185FA5" w:sz="8" w:space="1"/>
        </w:pBdr>
        <w:spacing w:after="60"/>
      </w:pPr>
      <w:r>
        <w:rPr>
          <w:rFonts w:ascii="Arial" w:cs="Arial" w:eastAsia="Arial" w:hAnsi="Arial"/>
          <w:color w:val="555555"/>
          <w:sz w:val="22"/>
          <w:szCs w:val="22"/>
        </w:rPr>
        <w:t xml:space="preserve">How both platforms integrate with applications hosted on Azure or AWS</w:t>
      </w:r>
    </w:p>
    <w:p>
      <w:pPr>
        <w:spacing w:after="80"/>
      </w:pPr>
      <w:r>
        <w:t xml:space="preserve"/>
      </w:r>
    </w:p>
    <w:p>
      <w:pPr>
        <w:spacing w:after="120"/>
      </w:pPr>
      <w:r>
        <w:rPr>
          <w:rFonts w:ascii="Arial" w:cs="Arial" w:eastAsia="Arial" w:hAnsi="Arial"/>
          <w:color w:val="333333"/>
          <w:sz w:val="22"/>
          <w:szCs w:val="22"/>
        </w:rPr>
        <w:t xml:space="preserve">The two architecture diagrams below illustrate how your application — whether hosted on Azure or AWS — connects to each Claude platform. The network path, data boundary, authentication model, and available services differ significantly between the two approaches.</w:t>
      </w:r>
    </w:p>
    <w:p>
      <w:pPr>
        <w:spacing w:after="80"/>
      </w:pPr>
      <w:r>
        <w:t xml:space="preserve"/>
      </w:r>
    </w:p>
    <w:p>
      <w:pPr>
        <w:pStyle w:val="Heading2"/>
        <w:spacing w:after="100" w:before="240"/>
      </w:pPr>
      <w:r>
        <w:rPr>
          <w:rFonts w:ascii="Arial" w:cs="Arial" w:eastAsia="Arial" w:hAnsi="Arial"/>
          <w:b/>
          <w:bCs/>
          <w:color w:val="1B3A6B"/>
          <w:sz w:val="26"/>
          <w:szCs w:val="26"/>
        </w:rPr>
        <w:t xml:space="preserve">Architecture 1: Claude Managed Agents</w:t>
      </w:r>
    </w:p>
    <w:p>
      <w:pPr>
        <w:spacing w:after="120"/>
      </w:pPr>
      <w:r>
        <w:rPr>
          <w:rFonts w:ascii="Arial" w:cs="Arial" w:eastAsia="Arial" w:hAnsi="Arial"/>
          <w:color w:val="333333"/>
          <w:sz w:val="22"/>
          <w:szCs w:val="22"/>
        </w:rPr>
        <w:t xml:space="preserve">Your application calls the Anthropic API directly over HTTPS. The Managed Agent runtime in Anthropic's cloud handles session state, tool execution (web search, code, MCP), and retry logic. No special network peering is required — any cloud-hosted app can connect.</w:t>
      </w:r>
    </w:p>
    <w:p>
      <w:pPr>
        <w:spacing w:after="80"/>
      </w:pPr>
      <w:r>
        <w:t xml:space="preserve"/>
      </w:r>
    </w:p>
    <w:p>
      <w:pPr>
        <w:spacing w:after="80"/>
        <w:jc w:val="center"/>
      </w:pPr>
      <w:r>
        <w:drawing>
          <wp:inline distT="0" distB="0" distL="0" distR="0">
            <wp:extent cx="600075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36004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1 — Claude Managed Agents: app hosted on Azure or AWS → Anthropic Cloud (HTTPS)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185FA5"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App side (Azure / AWS)</w:t>
            </w:r>
          </w:p>
        </w:tc>
        <w:tc>
          <w:tcPr>
            <w:tcW w:type="dxa" w:w="45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Anthropic Cloud</w:t>
            </w:r>
          </w:p>
        </w:tc>
      </w:tr>
      <w:tr>
        <w:tc>
          <w:tcPr>
            <w:tcW w:type="dxa" w:w="4500"/>
            <w:tcBorders>
              <w:top w:val="single" w:color="CCCCCC" w:sz="1"/>
              <w:left w:val="single" w:color="CCCCCC" w:sz="1"/>
              <w:bottom w:val="single" w:color="CCCCCC" w:sz="1"/>
              <w:right w:val="single" w:color="CCCCCC" w:sz="1"/>
            </w:tcBorders>
            <w:shd w:fill="F0F9FF" w:val="clear"/>
            <w:tcMar>
              <w:top w:type="dxa" w:w="100"/>
              <w:left w:type="dxa" w:w="150"/>
              <w:bottom w:type="dxa" w:w="100"/>
              <w:right w:type="dxa" w:w="150"/>
            </w:tcMar>
          </w:tcPr>
          <w:p>
            <w:pPr>
              <w:spacing w:after="70"/>
            </w:pPr>
            <w:r>
              <w:rPr>
                <w:rFonts w:ascii="Arial" w:cs="Arial" w:eastAsia="Arial" w:hAnsi="Arial"/>
                <w:color w:val="333333"/>
                <w:sz w:val="19"/>
                <w:szCs w:val="19"/>
              </w:rPr>
              <w:t xml:space="preserve">• Your app (Azure or AWS) calls Anthropic API over HTTPS</w:t>
            </w:r>
          </w:p>
          <w:p>
            <w:pPr>
              <w:spacing w:after="70"/>
            </w:pPr>
            <w:r>
              <w:rPr>
                <w:rFonts w:ascii="Arial" w:cs="Arial" w:eastAsia="Arial" w:hAnsi="Arial"/>
                <w:color w:val="333333"/>
                <w:sz w:val="19"/>
                <w:szCs w:val="19"/>
              </w:rPr>
              <w:t xml:space="preserve">• No special network configuration or peering required</w:t>
            </w:r>
          </w:p>
          <w:p>
            <w:pPr>
              <w:spacing w:after="70"/>
            </w:pPr>
            <w:r>
              <w:rPr>
                <w:rFonts w:ascii="Arial" w:cs="Arial" w:eastAsia="Arial" w:hAnsi="Arial"/>
                <w:color w:val="333333"/>
                <w:sz w:val="19"/>
                <w:szCs w:val="19"/>
              </w:rPr>
              <w:t xml:space="preserve">• Store Anthropic API key in Azure Key Vault or AWS Secrets Manager</w:t>
            </w:r>
          </w:p>
          <w:p>
            <w:pPr>
              <w:spacing w:after="70"/>
            </w:pPr>
            <w:r>
              <w:rPr>
                <w:rFonts w:ascii="Arial" w:cs="Arial" w:eastAsia="Arial" w:hAnsi="Arial"/>
                <w:color w:val="333333"/>
                <w:sz w:val="19"/>
                <w:szCs w:val="19"/>
              </w:rPr>
              <w:t xml:space="preserve">• SDK available for Python, TypeScript, and other languages</w:t>
            </w:r>
          </w:p>
        </w:tc>
        <w:tc>
          <w:tcPr>
            <w:tcW w:type="dxa" w:w="45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pPr>
              <w:spacing w:after="70"/>
            </w:pPr>
            <w:r>
              <w:rPr>
                <w:rFonts w:ascii="Arial" w:cs="Arial" w:eastAsia="Arial" w:hAnsi="Arial"/>
                <w:color w:val="333333"/>
                <w:sz w:val="19"/>
                <w:szCs w:val="19"/>
              </w:rPr>
              <w:t xml:space="preserve">• Managed Agent runtime handles session state and tool loop</w:t>
            </w:r>
          </w:p>
          <w:p>
            <w:pPr>
              <w:spacing w:after="70"/>
            </w:pPr>
            <w:r>
              <w:rPr>
                <w:rFonts w:ascii="Arial" w:cs="Arial" w:eastAsia="Arial" w:hAnsi="Arial"/>
                <w:color w:val="333333"/>
                <w:sz w:val="19"/>
                <w:szCs w:val="19"/>
              </w:rPr>
              <w:t xml:space="preserve">• Built-in: web search, code execution, MCP connector, Files API</w:t>
            </w:r>
          </w:p>
          <w:p>
            <w:pPr>
              <w:spacing w:after="70"/>
            </w:pPr>
            <w:r>
              <w:rPr>
                <w:rFonts w:ascii="Arial" w:cs="Arial" w:eastAsia="Arial" w:hAnsi="Arial"/>
                <w:color w:val="333333"/>
                <w:sz w:val="19"/>
                <w:szCs w:val="19"/>
              </w:rPr>
              <w:t xml:space="preserve">• Each session runs in a gVisor-isolated container</w:t>
            </w:r>
          </w:p>
          <w:p>
            <w:pPr>
              <w:spacing w:after="70"/>
            </w:pPr>
            <w:r>
              <w:rPr>
                <w:rFonts w:ascii="Arial" w:cs="Arial" w:eastAsia="Arial" w:hAnsi="Arial"/>
                <w:color w:val="333333"/>
                <w:sz w:val="19"/>
                <w:szCs w:val="19"/>
              </w:rPr>
              <w:t xml:space="preserve">• Data processed outside AWS/Azure boundary — verify compliance</w:t>
            </w:r>
          </w:p>
        </w:tc>
      </w:tr>
    </w:tbl>
    <w:p>
      <w:pPr>
        <w:spacing w:after="80"/>
      </w:pPr>
      <w:r>
        <w:t xml:space="preserve"/>
      </w:r>
    </w:p>
    <w:p>
      <w:r>
        <w:br w:type="page"/>
      </w:r>
    </w:p>
    <w:p>
      <w:pPr>
        <w:pStyle w:val="Heading2"/>
        <w:spacing w:after="100" w:before="240"/>
      </w:pPr>
      <w:r>
        <w:rPr>
          <w:rFonts w:ascii="Arial" w:cs="Arial" w:eastAsia="Arial" w:hAnsi="Arial"/>
          <w:b/>
          <w:bCs/>
          <w:color w:val="1B3A6B"/>
          <w:sz w:val="26"/>
          <w:szCs w:val="26"/>
        </w:rPr>
        <w:t xml:space="preserve">Architecture 2: Claude on Amazon Bedrock</w:t>
      </w:r>
    </w:p>
    <w:p>
      <w:pPr>
        <w:spacing w:after="120"/>
      </w:pPr>
      <w:r>
        <w:rPr>
          <w:rFonts w:ascii="Arial" w:cs="Arial" w:eastAsia="Arial" w:hAnsi="Arial"/>
          <w:color w:val="333333"/>
          <w:sz w:val="22"/>
          <w:szCs w:val="22"/>
        </w:rPr>
        <w:t xml:space="preserve">Your application connects to Amazon Bedrock through a VPC PrivateLink endpoint — no traffic leaves the AWS boundary. AWS IAM handles authentication. Bedrock Guardrails filter requests before they reach the model, and Knowledge Bases provide managed RAG. Azure-hosted apps can also connect via cross-account IAM or API keys, though data still flows into AWS.</w:t>
      </w:r>
    </w:p>
    <w:p>
      <w:pPr>
        <w:spacing w:after="80"/>
      </w:pPr>
      <w:r>
        <w:t xml:space="preserve"/>
      </w:r>
    </w:p>
    <w:p>
      <w:pPr>
        <w:spacing w:after="80"/>
        <w:jc w:val="center"/>
      </w:pPr>
      <w:r>
        <w:drawing>
          <wp:inline distT="0" distB="0" distL="0" distR="0">
            <wp:extent cx="600075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36004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2 — Claude on Amazon Bedrock: app hosted on Azure or AWS → Bedrock (VPC PrivateLink or HTTPS)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B4530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App side (Azure / AWS)</w:t>
            </w:r>
          </w:p>
        </w:tc>
        <w:tc>
          <w:tcPr>
            <w:tcW w:type="dxa" w:w="4500"/>
            <w:tcBorders>
              <w:top w:val="single" w:color="CCCCCC" w:sz="1"/>
              <w:left w:val="single" w:color="CCCCCC" w:sz="1"/>
              <w:bottom w:val="single" w:color="CCCCCC" w:sz="1"/>
              <w:right w:val="single" w:color="CCCCCC" w:sz="1"/>
            </w:tcBorders>
            <w:shd w:fill="064E3B"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AWS Cloud / Bedrock</w:t>
            </w:r>
          </w:p>
        </w:tc>
      </w:tr>
      <w:tr>
        <w:tc>
          <w:tcPr>
            <w:tcW w:type="dxa" w:w="4500"/>
            <w:tcBorders>
              <w:top w:val="single" w:color="CCCCCC" w:sz="1"/>
              <w:left w:val="single" w:color="CCCCCC" w:sz="1"/>
              <w:bottom w:val="single" w:color="CCCCCC" w:sz="1"/>
              <w:right w:val="single" w:color="CCCCCC" w:sz="1"/>
            </w:tcBorders>
            <w:shd w:fill="FFF8F0" w:val="clear"/>
            <w:tcMar>
              <w:top w:type="dxa" w:w="100"/>
              <w:left w:type="dxa" w:w="150"/>
              <w:bottom w:type="dxa" w:w="100"/>
              <w:right w:type="dxa" w:w="150"/>
            </w:tcMar>
          </w:tcPr>
          <w:p>
            <w:pPr>
              <w:spacing w:after="70"/>
            </w:pPr>
            <w:r>
              <w:rPr>
                <w:rFonts w:ascii="Arial" w:cs="Arial" w:eastAsia="Arial" w:hAnsi="Arial"/>
                <w:color w:val="333333"/>
                <w:sz w:val="19"/>
                <w:szCs w:val="19"/>
              </w:rPr>
              <w:t xml:space="preserve">• All inference stays inside AWS — no public internet egress via PrivateLink</w:t>
            </w:r>
          </w:p>
          <w:p>
            <w:pPr>
              <w:spacing w:after="70"/>
            </w:pPr>
            <w:r>
              <w:rPr>
                <w:rFonts w:ascii="Arial" w:cs="Arial" w:eastAsia="Arial" w:hAnsi="Arial"/>
                <w:color w:val="333333"/>
                <w:sz w:val="19"/>
                <w:szCs w:val="19"/>
              </w:rPr>
              <w:t xml:space="preserve">• IAM roles handle auth — no separate Anthropic account needed</w:t>
            </w:r>
          </w:p>
          <w:p>
            <w:pPr>
              <w:spacing w:after="70"/>
            </w:pPr>
            <w:r>
              <w:rPr>
                <w:rFonts w:ascii="Arial" w:cs="Arial" w:eastAsia="Arial" w:hAnsi="Arial"/>
                <w:color w:val="333333"/>
                <w:sz w:val="19"/>
                <w:szCs w:val="19"/>
              </w:rPr>
              <w:t xml:space="preserve">• CloudTrail logs every Bedrock API call for auditing</w:t>
            </w:r>
          </w:p>
          <w:p>
            <w:pPr>
              <w:spacing w:after="70"/>
            </w:pPr>
            <w:r>
              <w:rPr>
                <w:rFonts w:ascii="Arial" w:cs="Arial" w:eastAsia="Arial" w:hAnsi="Arial"/>
                <w:color w:val="333333"/>
                <w:sz w:val="19"/>
                <w:szCs w:val="19"/>
              </w:rPr>
              <w:t xml:space="preserve">• Azure-hosted apps can connect via cross-account IAM or API keys</w:t>
            </w:r>
          </w:p>
        </w:tc>
        <w:tc>
          <w:tcPr>
            <w:tcW w:type="dxa" w:w="450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pPr>
              <w:spacing w:after="70"/>
            </w:pPr>
            <w:r>
              <w:rPr>
                <w:rFonts w:ascii="Arial" w:cs="Arial" w:eastAsia="Arial" w:hAnsi="Arial"/>
                <w:color w:val="333333"/>
                <w:sz w:val="19"/>
                <w:szCs w:val="19"/>
              </w:rPr>
              <w:t xml:space="preserve">• AWS Guardrails filter content before/after model inference</w:t>
            </w:r>
          </w:p>
          <w:p>
            <w:pPr>
              <w:spacing w:after="70"/>
            </w:pPr>
            <w:r>
              <w:rPr>
                <w:rFonts w:ascii="Arial" w:cs="Arial" w:eastAsia="Arial" w:hAnsi="Arial"/>
                <w:color w:val="333333"/>
                <w:sz w:val="19"/>
                <w:szCs w:val="19"/>
              </w:rPr>
              <w:t xml:space="preserve">• Knowledge Bases enable managed RAG with vector search</w:t>
            </w:r>
          </w:p>
          <w:p>
            <w:pPr>
              <w:spacing w:after="70"/>
            </w:pPr>
            <w:r>
              <w:rPr>
                <w:rFonts w:ascii="Arial" w:cs="Arial" w:eastAsia="Arial" w:hAnsi="Arial"/>
                <w:color w:val="333333"/>
                <w:sz w:val="19"/>
                <w:szCs w:val="19"/>
              </w:rPr>
              <w:t xml:space="preserve">• HIPAA, FedRAMP High, SOC 2, GDPR compliant out of the box</w:t>
            </w:r>
          </w:p>
          <w:p>
            <w:pPr>
              <w:spacing w:after="70"/>
            </w:pPr>
            <w:r>
              <w:rPr>
                <w:rFonts w:ascii="Arial" w:cs="Arial" w:eastAsia="Arial" w:hAnsi="Arial"/>
                <w:color w:val="333333"/>
                <w:sz w:val="19"/>
                <w:szCs w:val="19"/>
              </w:rPr>
              <w:t xml:space="preserve">• Claude Managed Agents features not yet available on Bedrock</w:t>
            </w:r>
          </w:p>
        </w:tc>
      </w:tr>
    </w:tbl>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185FA5" w:sz="12"/>
              <w:bottom w:val="single" w:color="CCCCCC" w:sz="1"/>
              <w:right w:val="single" w:color="CCCCCC" w:sz="1"/>
            </w:tcBorders>
            <w:shd w:fill="EFF6FF" w:val="clear"/>
            <w:tcMar>
              <w:top w:type="dxa" w:w="140"/>
              <w:left w:type="dxa" w:w="200"/>
              <w:bottom w:type="dxa" w:w="140"/>
              <w:right w:type="dxa" w:w="200"/>
            </w:tcMar>
          </w:tcPr>
          <w:p>
            <w:pPr>
              <w:spacing w:after="80"/>
            </w:pPr>
            <w:r>
              <w:rPr>
                <w:rFonts w:ascii="Arial" w:cs="Arial" w:eastAsia="Arial" w:hAnsi="Arial"/>
                <w:b/>
                <w:bCs/>
                <w:color w:val="1B3A6B"/>
                <w:sz w:val="22"/>
                <w:szCs w:val="22"/>
              </w:rPr>
              <w:t xml:space="preserve">Architecture Decision Summary</w:t>
            </w:r>
          </w:p>
          <w:p>
            <w:pPr>
              <w:spacing w:after="60"/>
            </w:pPr>
            <w:r>
              <w:rPr>
                <w:rFonts w:ascii="Arial" w:cs="Arial" w:eastAsia="Arial" w:hAnsi="Arial"/>
                <w:color w:val="333333"/>
                <w:sz w:val="20"/>
                <w:szCs w:val="20"/>
              </w:rPr>
              <w:t xml:space="preserve">• Azure-hosted apps: Both architectures work. Use Claude Managed Agents for agent features; use Bedrock if data must stay in AWS and your team can set up cross-account IAM.</w:t>
            </w:r>
          </w:p>
          <w:p>
            <w:pPr>
              <w:spacing w:after="60"/>
            </w:pPr>
            <w:r>
              <w:rPr>
                <w:rFonts w:ascii="Arial" w:cs="Arial" w:eastAsia="Arial" w:hAnsi="Arial"/>
                <w:color w:val="333333"/>
                <w:sz w:val="20"/>
                <w:szCs w:val="20"/>
              </w:rPr>
              <w:t xml:space="preserve">• AWS-hosted apps: Bedrock gives native VPC integration with zero egress. Managed Agents works too but data leaves the AWS boundary — confirm with your security team.</w:t>
            </w:r>
          </w:p>
          <w:p>
            <w:pPr>
              <w:spacing w:after="40"/>
            </w:pPr>
            <w:r>
              <w:rPr>
                <w:rFonts w:ascii="Arial" w:cs="Arial" w:eastAsia="Arial" w:hAnsi="Arial"/>
                <w:color w:val="333333"/>
                <w:sz w:val="20"/>
                <w:szCs w:val="20"/>
              </w:rPr>
              <w:t xml:space="preserve">• Many enterprises run both: Bedrock for compliance-sensitive inference, Claude Managed Agents for agentic development and new feature access.</w:t>
            </w:r>
          </w:p>
        </w:tc>
      </w:tr>
    </w:tbl>
    <w:p>
      <w:pPr>
        <w:spacing w:after="80"/>
      </w:pPr>
      <w:r>
        <w:t xml:space="preserve"/>
      </w:r>
    </w:p>
    <w:p>
      <w:pPr>
        <w:spacing w:before="80"/>
      </w:pPr>
      <w:r>
        <w:rPr>
          <w:rFonts w:ascii="Arial" w:cs="Arial" w:eastAsia="Arial" w:hAnsi="Arial"/>
          <w:i/>
          <w:iCs/>
          <w:color w:val="999999"/>
          <w:sz w:val="17"/>
          <w:szCs w:val="17"/>
        </w:rPr>
        <w:t xml:space="preserve">Sources: platform.claude.ai/docs, aws.amazon.com/bedrock, anthropic.com/news — May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pPr>
    <w:r>
      <w:rPr>
        <w:rFonts w:ascii="Arial" w:cs="Arial" w:eastAsia="Arial" w:hAnsi="Arial"/>
        <w:color w:val="888888"/>
        <w:sz w:val="18"/>
        <w:szCs w:val="18"/>
      </w:rPr>
      <w:t xml:space="preserve">Confidential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6" w:space="1"/>
      </w:pBdr>
      <w:spacing w:after="100"/>
    </w:pPr>
    <w:r>
      <w:rPr>
        <w:rFonts w:ascii="Arial" w:cs="Arial" w:eastAsia="Arial" w:hAnsi="Arial"/>
        <w:b/>
        <w:bCs/>
        <w:color w:val="1B3A6B"/>
        <w:sz w:val="20"/>
        <w:szCs w:val="20"/>
      </w:rPr>
      <w:t xml:space="preserve">Claude Platform Comparison</w:t>
    </w:r>
    <w:r>
      <w:rPr>
        <w:rFonts w:ascii="Arial" w:cs="Arial" w:eastAsia="Arial" w:hAnsi="Arial"/>
        <w:color w:val="888888"/>
        <w:sz w:val="20"/>
        <w:szCs w:val="20"/>
      </w:rPr>
      <w:t xml:space="preserve">   |   Anthropic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7e64c81a684529c997ad4e0bd41d23357c3cfcd.png"/><Relationship Id="rId10" Type="http://schemas.openxmlformats.org/officeDocument/2006/relationships/image" Target="media/78adae31197d1172f67a2b827ec6841cb3d01a4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2026-05-13T23:44:29.697Z</dcterms:created>
  <dcterms:modified xsi:type="dcterms:W3CDTF">2026-05-13T23:44:29.714Z</dcterms:modified>
</cp:coreProperties>
</file>

<file path=docProps/custom.xml><?xml version="1.0" encoding="utf-8"?>
<Properties xmlns="http://schemas.openxmlformats.org/officeDocument/2006/custom-properties" xmlns:vt="http://schemas.openxmlformats.org/officeDocument/2006/docPropsVTypes"/>
</file>