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071A" w14:textId="608CA5B8" w:rsidR="00F74E79" w:rsidRPr="00E374C8" w:rsidRDefault="00000000" w:rsidP="00F74E79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 w:rsidR="00C306EC" w:rsidRPr="00E374C8"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 w:rsidR="00F74E79" w:rsidRPr="00E374C8">
        <w:rPr>
          <w:sz w:val="44"/>
          <w:szCs w:val="44"/>
        </w:rPr>
        <w:t>薪资报告</w:t>
      </w:r>
    </w:p>
    <w:p w14:paraId="3E3876F0" w14:textId="72C38DF3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433A0D" w:rsidRPr="00EB22E3">
        <w:rPr>
          <w:rFonts w:ascii="仿宋" w:eastAsia="仿宋" w:hAnsi="仿宋"/>
          <w:sz w:val="21"/>
          <w:szCs w:val="21"/>
        </w:rPr>
        <w:t xml:space="preserve"> </w:t>
      </w:r>
      <w:r w:rsidRPr="00EB22E3">
        <w:rPr>
          <w:rFonts w:ascii="仿宋" w:eastAsia="仿宋" w:hAnsi="仿宋"/>
          <w:sz w:val="21"/>
          <w:szCs w:val="21"/>
        </w:rPr>
        <w:t>-</w:t>
      </w:r>
      <w:r w:rsidR="00433A0D" w:rsidRPr="00EB22E3"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 w:rsidR="00433A0D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378E92F" w14:textId="77777777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报告编制部门：人力资源部</w:t>
      </w:r>
    </w:p>
    <w:p w14:paraId="1A3A8173" w14:textId="70325910" w:rsidR="00EB5EC9" w:rsidRPr="00EB22E3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 w:rsidRPr="00EB22E3"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310629870"/>
          <w:text/>
        </w:sdtPr>
        <w:sdtContent>
          <w:r w:rsidR="003B5CF1" w:rsidRPr="00EB22E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604597F1" w14:textId="77777777" w:rsidR="00EB5EC9" w:rsidRPr="005C5213" w:rsidRDefault="00000000">
      <w:pPr>
        <w:pStyle w:val="2"/>
        <w:rPr>
          <w:sz w:val="30"/>
          <w:szCs w:val="30"/>
        </w:rPr>
      </w:pPr>
      <w:r w:rsidRPr="005C5213">
        <w:rPr>
          <w:sz w:val="30"/>
          <w:szCs w:val="30"/>
        </w:rPr>
        <w:t>一、报告概述</w:t>
      </w:r>
    </w:p>
    <w:p w14:paraId="4ABED999" w14:textId="77777777" w:rsidR="00EB5EC9" w:rsidRPr="00480A61" w:rsidRDefault="00000000">
      <w:pPr>
        <w:pStyle w:val="3"/>
        <w:rPr>
          <w:sz w:val="28"/>
          <w:szCs w:val="28"/>
        </w:rPr>
      </w:pPr>
      <w:r w:rsidRPr="00480A61">
        <w:rPr>
          <w:sz w:val="28"/>
          <w:szCs w:val="28"/>
        </w:rPr>
        <w:t>（一）报告目的</w:t>
      </w:r>
    </w:p>
    <w:p w14:paraId="33BAC47A" w14:textId="24715B8A" w:rsidR="00EB5EC9" w:rsidRPr="00651CEB" w:rsidRDefault="00000000" w:rsidP="00D64B86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-1024788909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 w:rsidR="00D7381B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 w14:textId="77777777" w:rsidR="00EB5EC9" w:rsidRPr="00D36A56" w:rsidRDefault="00000000">
      <w:pPr>
        <w:pStyle w:val="3"/>
        <w:rPr>
          <w:sz w:val="28"/>
          <w:szCs w:val="28"/>
        </w:rPr>
      </w:pPr>
      <w:r w:rsidRPr="00D36A56">
        <w:rPr>
          <w:sz w:val="28"/>
          <w:szCs w:val="28"/>
        </w:rPr>
        <w:t>（二）数据来源</w:t>
      </w:r>
    </w:p>
    <w:p w14:paraId="6F056673" w14:textId="797BF2ED" w:rsidR="00EB5EC9" w:rsidRPr="00651CEB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651CEB"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304459143"/>
          <w:text/>
        </w:sdtPr>
        <w:sdtContent>
          <w:r w:rsidR="00A559A0" w:rsidRPr="00651CEB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651CEB"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内的薪资发放记录、考勤管理系统中的考勤数据（用于核算绩效工资、加班工资等），</w:t>
      </w:r>
      <w:r w:rsidRPr="00651CEB">
        <w:rPr>
          <w:rFonts w:ascii="仿宋" w:eastAsia="仿宋" w:hAnsi="仿宋"/>
          <w:color w:val="0000FF"/>
          <w:sz w:val="21"/>
          <w:szCs w:val="21"/>
        </w:rPr>
        <w:t>以及外部权威薪酬调研机构（如 [具体调研机构名称]）发布的 [所在行业 / 地区] 同期薪资调研报告。</w:t>
      </w:r>
      <w:r w:rsidRPr="00651CEB"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628252BE" w14:textId="77777777" w:rsidR="00EB5EC9" w:rsidRDefault="00000000">
      <w:pPr>
        <w:pStyle w:val="3"/>
      </w:pPr>
      <w:r>
        <w:t>（三）统计范围</w:t>
      </w:r>
    </w:p>
    <w:p w14:paraId="692894B7" w14:textId="1DC3BB24" w:rsidR="00EB5EC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 w:rsidRPr="00EC4061"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-1190368193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 w:rsidRPr="00EC4061">
        <w:rPr>
          <w:rFonts w:ascii="仿宋" w:eastAsia="仿宋" w:hAnsi="仿宋"/>
          <w:sz w:val="21"/>
          <w:szCs w:val="21"/>
        </w:rPr>
        <w:t>个</w:t>
      </w:r>
      <w:proofErr w:type="gramEnd"/>
      <w:r w:rsidRPr="00EC4061"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 w:rsidR="002F519D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-1444764517"/>
          <w:text/>
        </w:sdtPr>
        <w:sdtContent>
          <w:r w:rsidR="00010E92" w:rsidRPr="00EC4061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EC4061">
        <w:rPr>
          <w:rFonts w:ascii="仿宋" w:eastAsia="仿宋" w:hAnsi="仿宋"/>
          <w:sz w:val="21"/>
          <w:szCs w:val="21"/>
        </w:rPr>
        <w:t>。</w:t>
      </w:r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-1787882007"/>
        <w:picture/>
      </w:sdtPr>
      <w:sdtContent>
        <w:p w14:paraId="38BD165D" w14:textId="6A51A39B" w:rsidR="008B09D2" w:rsidRPr="004417D7" w:rsidRDefault="004417D7" w:rsidP="004417D7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5414A6D" wp14:editId="4BE4E27B">
                <wp:extent cx="4832472" cy="2635894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 w14:textId="77777777" w:rsidR="00EB5EC9" w:rsidRPr="007C7905" w:rsidRDefault="00000000">
      <w:pPr>
        <w:pStyle w:val="2"/>
        <w:rPr>
          <w:sz w:val="30"/>
          <w:szCs w:val="30"/>
        </w:rPr>
      </w:pPr>
      <w:r w:rsidRPr="007C7905">
        <w:rPr>
          <w:sz w:val="30"/>
          <w:szCs w:val="30"/>
        </w:rPr>
        <w:t>二、薪资整体水平分析</w:t>
      </w:r>
    </w:p>
    <w:p w14:paraId="6D1CC4EF" w14:textId="77777777" w:rsidR="00EB5EC9" w:rsidRPr="007C7905" w:rsidRDefault="00000000">
      <w:pPr>
        <w:pStyle w:val="3"/>
        <w:rPr>
          <w:sz w:val="28"/>
          <w:szCs w:val="28"/>
        </w:rPr>
      </w:pPr>
      <w:r w:rsidRPr="007C7905">
        <w:rPr>
          <w:sz w:val="28"/>
          <w:szCs w:val="28"/>
        </w:rPr>
        <w:lastRenderedPageBreak/>
        <w:t>（一）平均薪资</w:t>
      </w:r>
    </w:p>
    <w:p w14:paraId="19A2188B" w14:textId="538AE7A8" w:rsidR="00EB5EC9" w:rsidRDefault="00000000">
      <w:pPr>
        <w:pStyle w:val="Style13"/>
        <w:ind w:firstLine="500"/>
      </w:pPr>
      <w:r w:rsidRPr="00D96618">
        <w:rPr>
          <w:rFonts w:ascii="仿宋" w:eastAsia="仿宋" w:hAnsi="仿宋"/>
          <w:b/>
          <w:bCs/>
          <w:sz w:val="21"/>
          <w:szCs w:val="21"/>
        </w:rPr>
        <w:t>整体平均薪资</w:t>
      </w:r>
      <w:r w:rsidRPr="00D96618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-1901121224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 xml:space="preserve"> 内，公司全体员工的</w:t>
      </w:r>
      <w:r w:rsidR="00165594"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-1428025634"/>
          <w:text/>
        </w:sdtPr>
        <w:sdtContent>
          <w:r w:rsidR="00165594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="002F3BAE">
        <w:rPr>
          <w:rFonts w:ascii="仿宋" w:eastAsia="仿宋" w:hAnsi="仿宋" w:cs="Times New Roman" w:hint="eastAsia"/>
          <w:sz w:val="21"/>
          <w:szCs w:val="21"/>
        </w:rPr>
        <w:t>元</w:t>
      </w:r>
      <w:r w:rsidR="00165594">
        <w:rPr>
          <w:rFonts w:ascii="仿宋" w:eastAsia="仿宋" w:hAnsi="仿宋" w:cs="Times New Roman" w:hint="eastAsia"/>
          <w:sz w:val="21"/>
          <w:szCs w:val="21"/>
        </w:rPr>
        <w:t>，</w:t>
      </w:r>
      <w:r w:rsidRPr="00D96618"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 w:rsidR="008419CC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sz w:val="21"/>
          <w:szCs w:val="21"/>
        </w:rPr>
        <w:t>元</w:t>
      </w:r>
      <w:r w:rsidR="001761C8"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-1731462098"/>
          <w:text/>
        </w:sdtPr>
        <w:sdtContent>
          <w:r w:rsidR="00A63E99" w:rsidRPr="00D96618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D96618">
        <w:rPr>
          <w:rFonts w:ascii="仿宋" w:eastAsia="仿宋" w:hAnsi="仿宋"/>
          <w:color w:val="0000FF"/>
          <w:sz w:val="21"/>
          <w:szCs w:val="21"/>
        </w:rPr>
        <w:t>增长 / 下降的主要原因包括 [如公司业绩增长带来的整体薪资上调、新增高薪资岗位人员、行业薪资水平波动等]</w:t>
      </w:r>
      <w:r>
        <w:t>。</w:t>
      </w:r>
    </w:p>
    <w:p w14:paraId="6D1F562E" w14:textId="77777777" w:rsidR="00EB5EC9" w:rsidRPr="00661EF4" w:rsidRDefault="00000000">
      <w:pPr>
        <w:pStyle w:val="3"/>
        <w:rPr>
          <w:sz w:val="28"/>
          <w:szCs w:val="28"/>
        </w:rPr>
      </w:pPr>
      <w:r w:rsidRPr="00661EF4">
        <w:rPr>
          <w:sz w:val="28"/>
          <w:szCs w:val="28"/>
        </w:rPr>
        <w:t>（二）薪资分布情况</w:t>
      </w:r>
    </w:p>
    <w:p w14:paraId="4A92A1EB" w14:textId="77777777" w:rsidR="00EB5EC9" w:rsidRPr="00EF4AB9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EF4AB9"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5E5D8E2D" w14:textId="198B0FA9" w:rsidR="00EB5EC9" w:rsidRPr="00EF4AB9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-2135394503"/>
          <w:text/>
        </w:sdtPr>
        <w:sdtContent>
          <w:r w:rsidR="008C45C7" w:rsidRPr="00EF4AB9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CDAD9DD" w14:textId="4002A78A" w:rsidR="00EB5EC9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 w:rsidR="009815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0E22170" wp14:editId="232B4B10">
                <wp:extent cx="5244703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 w14:textId="406A688A" w:rsidR="00EB5EC9" w:rsidRPr="000C7E90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 w:rsidRPr="000C7E90">
        <w:rPr>
          <w:rFonts w:ascii="仿宋" w:eastAsia="仿宋" w:hAnsi="仿宋"/>
          <w:b/>
          <w:bCs/>
          <w:sz w:val="21"/>
          <w:szCs w:val="21"/>
        </w:rPr>
        <w:t>薪资分布特征</w:t>
      </w:r>
      <w:r w:rsidRPr="000C7E90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 w:rsidRPr="000C7E90"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 w14:textId="77777777" w:rsidR="00EB5EC9" w:rsidRPr="008D0DE5" w:rsidRDefault="00000000">
      <w:pPr>
        <w:pStyle w:val="2"/>
        <w:rPr>
          <w:sz w:val="30"/>
          <w:szCs w:val="30"/>
        </w:rPr>
      </w:pPr>
      <w:r w:rsidRPr="008D0DE5">
        <w:rPr>
          <w:sz w:val="30"/>
          <w:szCs w:val="30"/>
        </w:rPr>
        <w:t>三、部门与岗位薪资分析</w:t>
      </w:r>
    </w:p>
    <w:p w14:paraId="2BF5159E" w14:textId="77777777" w:rsidR="00EB5EC9" w:rsidRPr="008D0DE5" w:rsidRDefault="00000000">
      <w:pPr>
        <w:pStyle w:val="3"/>
        <w:rPr>
          <w:sz w:val="28"/>
          <w:szCs w:val="28"/>
        </w:rPr>
      </w:pPr>
      <w:r w:rsidRPr="008D0DE5">
        <w:rPr>
          <w:sz w:val="28"/>
          <w:szCs w:val="28"/>
        </w:rPr>
        <w:t>（一）各部门薪资对比</w:t>
      </w:r>
    </w:p>
    <w:p w14:paraId="6F64F9AE" w14:textId="48D97550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部门平均薪资排名</w:t>
      </w:r>
      <w:r w:rsidRPr="00025B63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-1880082393"/>
          <w:text/>
        </w:sdtPr>
        <w:sdtContent>
          <w:r w:rsidR="00061D89" w:rsidRPr="00025B63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025B63">
        <w:rPr>
          <w:rFonts w:ascii="仿宋" w:eastAsia="仿宋" w:hAnsi="仿宋"/>
          <w:sz w:val="21"/>
          <w:szCs w:val="21"/>
        </w:rPr>
        <w:t>。</w:t>
      </w:r>
    </w:p>
    <w:p w14:paraId="7FD8F423" w14:textId="77777777" w:rsidR="00EB5EC9" w:rsidRPr="00025B63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 w:rsidRPr="00025B63"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402607D2" w14:textId="41883B95" w:rsidR="00EB5EC9" w:rsidRPr="00BF3523" w:rsidRDefault="00000000" w:rsidP="00D03A4E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 w:rsidR="00645A9E"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169D5BCE" w14:textId="77777777" w:rsidR="00EB5EC9" w:rsidRPr="00385AFA" w:rsidRDefault="00000000">
      <w:pPr>
        <w:pStyle w:val="3"/>
        <w:rPr>
          <w:sz w:val="28"/>
          <w:szCs w:val="28"/>
        </w:rPr>
      </w:pPr>
      <w:r w:rsidRPr="00385AFA">
        <w:rPr>
          <w:sz w:val="28"/>
          <w:szCs w:val="28"/>
        </w:rPr>
        <w:t>（二）关键岗位薪资分析</w:t>
      </w:r>
    </w:p>
    <w:p w14:paraId="27DA9677" w14:textId="7E7C9FCE" w:rsidR="00EB5EC9" w:rsidRPr="00385AFA" w:rsidRDefault="00000000" w:rsidP="008D20FD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-976909685"/>
          <w:placeholder>
            <w:docPart w:val="DefaultPlaceholder_-1854013440"/>
          </w:placeholder>
          <w:text/>
        </w:sdtPr>
        <w:sdtContent>
          <w:r w:rsidR="00385AFA" w:rsidRPr="00385AFA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385AFA">
        <w:rPr>
          <w:rFonts w:ascii="仿宋" w:eastAsia="仿宋" w:hAnsi="仿宋" w:hint="eastAsia"/>
          <w:sz w:val="21"/>
          <w:szCs w:val="21"/>
        </w:rPr>
        <w:t xml:space="preserve"> </w:t>
      </w:r>
    </w:p>
    <w:p w14:paraId="28E29CDD" w14:textId="77777777" w:rsidR="00EB5EC9" w:rsidRPr="001945F9" w:rsidRDefault="00000000">
      <w:pPr>
        <w:pStyle w:val="2"/>
        <w:rPr>
          <w:sz w:val="30"/>
          <w:szCs w:val="30"/>
        </w:rPr>
      </w:pPr>
      <w:r w:rsidRPr="001945F9">
        <w:rPr>
          <w:sz w:val="30"/>
          <w:szCs w:val="30"/>
        </w:rPr>
        <w:lastRenderedPageBreak/>
        <w:t>四、薪资结构分析</w:t>
      </w:r>
    </w:p>
    <w:p w14:paraId="69BC4160" w14:textId="77777777" w:rsidR="00EB5EC9" w:rsidRPr="001945F9" w:rsidRDefault="00000000">
      <w:pPr>
        <w:pStyle w:val="3"/>
        <w:rPr>
          <w:sz w:val="28"/>
          <w:szCs w:val="28"/>
        </w:rPr>
      </w:pPr>
      <w:r w:rsidRPr="001945F9">
        <w:rPr>
          <w:sz w:val="28"/>
          <w:szCs w:val="28"/>
        </w:rPr>
        <w:t>（一）整体薪资结构</w:t>
      </w:r>
    </w:p>
    <w:p w14:paraId="1B3AAFF1" w14:textId="14EFF522" w:rsidR="00EB5EC9" w:rsidRDefault="00000000" w:rsidP="00D03A4E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-983074752"/>
          <w:placeholder>
            <w:docPart w:val="DefaultPlaceholder_-1854013440"/>
          </w:placeholder>
          <w:text/>
        </w:sdtPr>
        <w:sdtContent>
          <w:r w:rsidR="001A3919" w:rsidRPr="001A3919"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 w:rsidR="001A3919"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672B1E2F" w14:textId="25BC1F14" w:rsidR="00567ED9" w:rsidRDefault="00567ED9" w:rsidP="009014E4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6E43AB3A" wp14:editId="17AD8CA4">
                <wp:extent cx="4697412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 w14:textId="77777777" w:rsidR="00EB5EC9" w:rsidRPr="009E3AA7" w:rsidRDefault="00000000">
      <w:pPr>
        <w:pStyle w:val="3"/>
        <w:rPr>
          <w:sz w:val="28"/>
          <w:szCs w:val="28"/>
        </w:rPr>
      </w:pPr>
      <w:r w:rsidRPr="009E3AA7">
        <w:rPr>
          <w:sz w:val="28"/>
          <w:szCs w:val="28"/>
        </w:rPr>
        <w:t>（</w:t>
      </w:r>
      <w:r w:rsidRPr="009E3AA7">
        <w:rPr>
          <w:rFonts w:hint="eastAsia"/>
          <w:sz w:val="28"/>
          <w:szCs w:val="28"/>
        </w:rPr>
        <w:t>二</w:t>
      </w:r>
      <w:r w:rsidRPr="009E3AA7">
        <w:rPr>
          <w:sz w:val="28"/>
          <w:szCs w:val="28"/>
        </w:rPr>
        <w:t>）薪资结构合理性评估与优化建议</w:t>
      </w:r>
    </w:p>
    <w:p w14:paraId="431E0392" w14:textId="2B53CE90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合理性评估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-2135473117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p w14:paraId="0E48357E" w14:textId="6FAC8249" w:rsidR="00EB5EC9" w:rsidRPr="009E3AA7" w:rsidRDefault="00000000">
      <w:pPr>
        <w:pStyle w:val="Style13"/>
        <w:numPr>
          <w:ilvl w:val="0"/>
          <w:numId w:val="6"/>
        </w:numPr>
        <w:rPr>
          <w:rFonts w:ascii="仿宋" w:eastAsia="仿宋" w:hAnsi="仿宋" w:hint="eastAsia"/>
          <w:sz w:val="21"/>
          <w:szCs w:val="21"/>
        </w:rPr>
      </w:pPr>
      <w:r w:rsidRPr="009E3AA7">
        <w:rPr>
          <w:rFonts w:ascii="仿宋" w:eastAsia="仿宋" w:hAnsi="仿宋"/>
          <w:b/>
          <w:bCs/>
          <w:sz w:val="21"/>
          <w:szCs w:val="21"/>
        </w:rPr>
        <w:t>优化建议</w:t>
      </w:r>
      <w:r w:rsidRPr="009E3AA7"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-1028102032"/>
          <w:text/>
        </w:sdtPr>
        <w:sdtContent>
          <w:r w:rsidR="0057717D" w:rsidRPr="009E3AA7"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 w:rsidRPr="009E3AA7">
        <w:rPr>
          <w:rFonts w:ascii="仿宋" w:eastAsia="仿宋" w:hAnsi="仿宋"/>
          <w:sz w:val="21"/>
          <w:szCs w:val="21"/>
        </w:rPr>
        <w:t>。</w:t>
      </w:r>
    </w:p>
    <w:sectPr w:rsidR="00EB5EC9" w:rsidRPr="009E3AA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233515353">
    <w:abstractNumId w:val="0"/>
    <w:lvlOverride w:ilvl="0">
      <w:startOverride w:val="1"/>
    </w:lvlOverride>
  </w:num>
  <w:num w:numId="2" w16cid:durableId="477646679">
    <w:abstractNumId w:val="0"/>
    <w:lvlOverride w:ilvl="0">
      <w:startOverride w:val="1"/>
    </w:lvlOverride>
  </w:num>
  <w:num w:numId="3" w16cid:durableId="223413904">
    <w:abstractNumId w:val="1"/>
    <w:lvlOverride w:ilvl="0">
      <w:startOverride w:val="1"/>
    </w:lvlOverride>
  </w:num>
  <w:num w:numId="4" w16cid:durableId="1484808622">
    <w:abstractNumId w:val="0"/>
    <w:lvlOverride w:ilvl="0">
      <w:startOverride w:val="1"/>
    </w:lvlOverride>
  </w:num>
  <w:num w:numId="5" w16cid:durableId="1594434182">
    <w:abstractNumId w:val="0"/>
  </w:num>
  <w:num w:numId="6" w16cid:durableId="131874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03A4E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B41B"/>
  <w15:docId w15:val="{87CA3891-3569-4FF3-8415-56089E8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footnote reference"/>
    <w:uiPriority w:val="99"/>
    <w:semiHidden/>
    <w:unhideWhenUsed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sid w:val="00F74E79"/>
    <w:rPr>
      <w:rFonts w:ascii="Arial" w:eastAsia="等线" w:hAnsi="Arial" w:cs="Arial"/>
      <w:b/>
      <w:bCs/>
      <w:sz w:val="36"/>
      <w:szCs w:val="36"/>
    </w:rPr>
  </w:style>
  <w:style w:type="character" w:styleId="a9">
    <w:name w:val="Strong"/>
    <w:basedOn w:val="a0"/>
    <w:qFormat/>
    <w:rsid w:val="00C306EC"/>
    <w:rPr>
      <w:b/>
      <w:bCs/>
    </w:rPr>
  </w:style>
  <w:style w:type="character" w:styleId="aa">
    <w:name w:val="Placeholder Text"/>
    <w:basedOn w:val="a0"/>
    <w:uiPriority w:val="99"/>
    <w:unhideWhenUsed/>
    <w:rsid w:val="00645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DE3425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16BC8" w:rsidRDefault="00DE3425" w:rsidP="00DE3425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3C7F30" w:rsidRDefault="00A66FCD">
          <w:pPr>
            <w:rPr>
              <w:rFonts w:hint="eastAsia"/>
            </w:rPr>
          </w:pPr>
          <w:r w:rsidRPr="000412F4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313E4"/>
    <w:rsid w:val="00143F75"/>
    <w:rsid w:val="00205EC8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66FCD"/>
    <w:rPr>
      <w:color w:val="666666"/>
    </w:rPr>
  </w:style>
  <w:style w:type="paragraph" w:customStyle="1" w:styleId="0316A78A257D4988BD7AA84453D0A43E">
    <w:name w:val="0316A78A257D4988BD7AA84453D0A43E"/>
    <w:rsid w:val="00DE342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62</cp:revision>
  <dcterms:created xsi:type="dcterms:W3CDTF">2025-09-15T03:36:00Z</dcterms:created>
  <dcterms:modified xsi:type="dcterms:W3CDTF">2025-09-18T02:08:00Z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A1AFE47A940949CFA63998308CD1786F_12</vt:lpwstr>
  </property>
</Properties>
</file>