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797BF2ED" w:rsidR="00EB5EC9" w:rsidRPr="00651CEB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内的薪资发放记录、考勤管理系统中的考勤数据（用于核算绩效工资、加班工资等），</w:t>
      </w:r>
      <w:r w:rsidRPr="00651CEB">
        <w:rPr>
          <w:rFonts w:ascii="仿宋" w:eastAsia="仿宋" w:hAnsi="仿宋"/>
          <w:color w:val="0000FF"/>
          <w:sz w:val="21"/>
          <w:szCs w:val="21"/>
        </w:rPr>
        <w:t>以及外部权威薪酬调研机构（如 [具体调研机构名称]）发布的 [所在行业 / 地区] 同期薪资调研报告。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 w:rsidRPr="00EC4061">
        <w:rPr>
          <w:rFonts w:ascii="仿宋" w:eastAsia="仿宋" w:hAnsi="仿宋"/>
          <w:sz w:val="21"/>
          <w:szCs w:val="21"/>
        </w:rPr>
        <w:t>个</w:t>
      </w:r>
      <w:proofErr w:type="gramEnd"/>
      <w:r w:rsidRPr="00EC4061"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-1787882007"/>
        <w:showingPlcHdr/>
        <w:picture/>
      </w:sdtPr>
      <w:sdtContent>
        <w:p w14:paraId="38BD165D" w14:textId="6A51A39B" w:rsidR="008B09D2" w:rsidRPr="004417D7" w:rsidRDefault="004417D7" w:rsidP="004417D7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5414A6D" wp14:editId="70D412C5">
                <wp:extent cx="5071110" cy="2626242"/>
                <wp:effectExtent l="0" t="0" r="0" b="3175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9747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lastRenderedPageBreak/>
        <w:t>（一）平均薪资</w:t>
      </w:r>
    </w:p>
    <w:p w14:paraId="19A2188B" w14:textId="538AE7A8" w:rsidR="00EB5EC9" w:rsidRDefault="00000000">
      <w:pPr>
        <w:pStyle w:val="Style13"/>
        <w:ind w:firstLine="500"/>
      </w:pPr>
      <w:r w:rsidRPr="00D96618">
        <w:rPr>
          <w:rFonts w:ascii="仿宋" w:eastAsia="仿宋" w:hAnsi="仿宋"/>
          <w:b/>
          <w:bCs/>
          <w:sz w:val="21"/>
          <w:szCs w:val="21"/>
        </w:rPr>
        <w:t>整体平均薪资</w:t>
      </w:r>
      <w:r w:rsidRPr="00D96618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</w:t>
      </w:r>
      <w:r w:rsidR="00165594"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-1428025634"/>
          <w:text/>
        </w:sdtPr>
        <w:sdtContent>
          <w:r w:rsidR="00165594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2F3BAE">
        <w:rPr>
          <w:rFonts w:ascii="仿宋" w:eastAsia="仿宋" w:hAnsi="仿宋" w:cs="Times New Roman" w:hint="eastAsia"/>
          <w:sz w:val="21"/>
          <w:szCs w:val="21"/>
        </w:rPr>
        <w:t>元</w:t>
      </w:r>
      <w:r w:rsidR="00165594">
        <w:rPr>
          <w:rFonts w:ascii="仿宋" w:eastAsia="仿宋" w:hAnsi="仿宋" w:cs="Times New Roman" w:hint="eastAsia"/>
          <w:sz w:val="21"/>
          <w:szCs w:val="21"/>
        </w:rPr>
        <w:t>，</w:t>
      </w:r>
      <w:r w:rsidRPr="00D96618"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</w:t>
      </w:r>
      <w:r w:rsidR="001761C8"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color w:val="0000FF"/>
          <w:sz w:val="21"/>
          <w:szCs w:val="21"/>
        </w:rPr>
        <w:t>增长 / 下降的主要原因包括 [如公司业绩增长带来的整体薪资上调、新增高薪资岗位人员、行业薪资水平波动等]</w:t>
      </w:r>
      <w:r>
        <w:t>。</w:t>
      </w:r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198B0FA9" w:rsidR="00EB5EC9" w:rsidRPr="00EF4AB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406A688A" w:rsidR="00EB5EC9" w:rsidRPr="000C7E90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  <w:r w:rsidRPr="000C7E90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6F64F9AE" w14:textId="48D97550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  <w:r w:rsidRPr="00025B63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402607D2" w14:textId="41883B95" w:rsidR="00EB5EC9" w:rsidRPr="00BF3523" w:rsidRDefault="00645A9E" w:rsidP="00645A9E">
      <w:pPr>
        <w:pStyle w:val="Style13"/>
        <w:ind w:left="7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169D5BCE" w14:textId="77777777" w:rsidR="00EB5EC9" w:rsidRPr="00704FA9" w:rsidRDefault="00000000">
      <w:pPr>
        <w:pStyle w:val="3"/>
        <w:rPr>
          <w:color w:val="0000FF"/>
          <w:sz w:val="28"/>
          <w:szCs w:val="28"/>
        </w:rPr>
      </w:pPr>
      <w:r w:rsidRPr="00704FA9">
        <w:rPr>
          <w:color w:val="0000FF"/>
          <w:sz w:val="28"/>
          <w:szCs w:val="28"/>
        </w:rPr>
        <w:t>（二）关键岗位薪资分析</w:t>
      </w:r>
    </w:p>
    <w:p w14:paraId="1ECBDD16" w14:textId="77777777" w:rsidR="00EB5EC9" w:rsidRPr="00704FA9" w:rsidRDefault="00000000">
      <w:pPr>
        <w:pStyle w:val="Style13"/>
        <w:numPr>
          <w:ilvl w:val="0"/>
          <w:numId w:val="4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lastRenderedPageBreak/>
        <w:t>关键岗位确定</w:t>
      </w:r>
      <w:r w:rsidRPr="00704FA9">
        <w:rPr>
          <w:rFonts w:ascii="仿宋" w:eastAsia="仿宋" w:hAnsi="仿宋"/>
          <w:color w:val="0000FF"/>
          <w:sz w:val="21"/>
          <w:szCs w:val="21"/>
        </w:rPr>
        <w:t>：结合公司业务发展重点和岗位重要性，选取 [如核心技术岗位（软件工程师、算法研究员等）、核心营销岗位（销售总监、大客户代表等）、核心管理岗位（生产经理、财务经理等）] 作为关键岗位进行分析。</w:t>
      </w:r>
    </w:p>
    <w:p w14:paraId="14458A1D" w14:textId="77777777" w:rsidR="00EB5EC9" w:rsidRPr="00704FA9" w:rsidRDefault="00000000">
      <w:pPr>
        <w:pStyle w:val="Style13"/>
        <w:numPr>
          <w:ilvl w:val="0"/>
          <w:numId w:val="4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t>关键岗位薪资水平</w:t>
      </w:r>
    </w:p>
    <w:p w14:paraId="05ED62EA" w14:textId="77777777" w:rsidR="00EB5EC9" w:rsidRPr="00704FA9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color w:val="0000FF"/>
          <w:sz w:val="21"/>
          <w:szCs w:val="21"/>
        </w:rPr>
        <w:t>[关键岗位 1]：月平均薪资 [X1] 元，其中基本工资占比 [P1]%、绩效工资占比 [P2]%、奖金及福利占比 [P3]%。</w:t>
      </w:r>
      <w:proofErr w:type="gramStart"/>
      <w:r w:rsidRPr="00704FA9">
        <w:rPr>
          <w:rFonts w:ascii="仿宋" w:eastAsia="仿宋" w:hAnsi="仿宋"/>
          <w:color w:val="0000FF"/>
          <w:sz w:val="21"/>
          <w:szCs w:val="21"/>
        </w:rPr>
        <w:t>该岗位</w:t>
      </w:r>
      <w:proofErr w:type="gramEnd"/>
      <w:r w:rsidRPr="00704FA9">
        <w:rPr>
          <w:rFonts w:ascii="仿宋" w:eastAsia="仿宋" w:hAnsi="仿宋"/>
          <w:color w:val="0000FF"/>
          <w:sz w:val="21"/>
          <w:szCs w:val="21"/>
        </w:rPr>
        <w:t>薪资在 [行业 / 地区] 内处于 [领先 / 中等 / 落后] 水平，与同行业标杆企业相比，差距为 [具体金额 / 比例]。</w:t>
      </w:r>
    </w:p>
    <w:p w14:paraId="3DF6C1B9" w14:textId="77777777" w:rsidR="00EB5EC9" w:rsidRPr="00704FA9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color w:val="0000FF"/>
          <w:sz w:val="21"/>
          <w:szCs w:val="21"/>
        </w:rPr>
        <w:t>[关键岗位 2]：月平均薪资 [X2] 元，薪资结构中</w:t>
      </w:r>
      <w:proofErr w:type="gramStart"/>
      <w:r w:rsidRPr="00704FA9">
        <w:rPr>
          <w:rFonts w:ascii="仿宋" w:eastAsia="仿宋" w:hAnsi="仿宋"/>
          <w:color w:val="0000FF"/>
          <w:sz w:val="21"/>
          <w:szCs w:val="21"/>
        </w:rPr>
        <w:t>各项占</w:t>
      </w:r>
      <w:proofErr w:type="gramEnd"/>
      <w:r w:rsidRPr="00704FA9">
        <w:rPr>
          <w:rFonts w:ascii="仿宋" w:eastAsia="仿宋" w:hAnsi="仿宋"/>
          <w:color w:val="0000FF"/>
          <w:sz w:val="21"/>
          <w:szCs w:val="21"/>
        </w:rPr>
        <w:t>比分别为基本工资 [Q1]%、绩效工资 [Q2]%、奖金及福利 [Q3]%。在市场上，</w:t>
      </w:r>
      <w:proofErr w:type="gramStart"/>
      <w:r w:rsidRPr="00704FA9">
        <w:rPr>
          <w:rFonts w:ascii="仿宋" w:eastAsia="仿宋" w:hAnsi="仿宋"/>
          <w:color w:val="0000FF"/>
          <w:sz w:val="21"/>
          <w:szCs w:val="21"/>
        </w:rPr>
        <w:t>该岗位</w:t>
      </w:r>
      <w:proofErr w:type="gramEnd"/>
      <w:r w:rsidRPr="00704FA9">
        <w:rPr>
          <w:rFonts w:ascii="仿宋" w:eastAsia="仿宋" w:hAnsi="仿宋"/>
          <w:color w:val="0000FF"/>
          <w:sz w:val="21"/>
          <w:szCs w:val="21"/>
        </w:rPr>
        <w:t>的薪资竞争力 [较强 / 一般 / 较弱]，可能会对人才的吸引和保留产生 [积极 / 中性 / 消极] 影响。</w:t>
      </w:r>
    </w:p>
    <w:p w14:paraId="27DA9677" w14:textId="41E8FF97" w:rsidR="00EB5EC9" w:rsidRDefault="00000000" w:rsidP="00704FA9">
      <w:pPr>
        <w:pStyle w:val="Style13"/>
        <w:numPr>
          <w:ilvl w:val="0"/>
          <w:numId w:val="4"/>
        </w:numPr>
        <w:rPr>
          <w:color w:val="0000FF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t>关键岗位薪资调整建议</w:t>
      </w:r>
      <w:r w:rsidRPr="00704FA9">
        <w:rPr>
          <w:rFonts w:ascii="仿宋" w:eastAsia="仿宋" w:hAnsi="仿宋"/>
          <w:color w:val="0000FF"/>
          <w:sz w:val="21"/>
          <w:szCs w:val="21"/>
        </w:rPr>
        <w:t>：针对各关键岗位的薪资水平和市场竞争力，建议 [如对薪资竞争力较弱的关键岗位，适当提高基本工资或绩效奖金比例，以提升岗位吸引力；对薪资处于市场领先水平但业绩贡献一般的岗位，优化绩效挂钩机制，确保薪资与业绩匹配等]。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734940A4" w14:textId="6D5FD2B1" w:rsidR="00EB5EC9" w:rsidRPr="001945F9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公司员工薪资主要由基本工资、绩效工资</w:t>
      </w:r>
      <w:r w:rsidRPr="001945F9">
        <w:rPr>
          <w:rFonts w:ascii="仿宋" w:eastAsia="仿宋" w:hAnsi="仿宋"/>
          <w:color w:val="EE0000"/>
          <w:sz w:val="21"/>
          <w:szCs w:val="21"/>
        </w:rPr>
        <w:t>、奖金（如季度奖、年终奖）、福利（如五险</w:t>
      </w:r>
      <w:proofErr w:type="gramStart"/>
      <w:r w:rsidRPr="001945F9">
        <w:rPr>
          <w:rFonts w:ascii="仿宋" w:eastAsia="仿宋" w:hAnsi="仿宋"/>
          <w:color w:val="EE0000"/>
          <w:sz w:val="21"/>
          <w:szCs w:val="21"/>
        </w:rPr>
        <w:t>一</w:t>
      </w:r>
      <w:proofErr w:type="gramEnd"/>
      <w:r w:rsidRPr="001945F9">
        <w:rPr>
          <w:rFonts w:ascii="仿宋" w:eastAsia="仿宋" w:hAnsi="仿宋"/>
          <w:color w:val="EE0000"/>
          <w:sz w:val="21"/>
          <w:szCs w:val="21"/>
        </w:rPr>
        <w:t>金、补充医疗、交通补贴、住房补贴等）四部分构成</w:t>
      </w:r>
      <w:r w:rsidRPr="001945F9">
        <w:rPr>
          <w:rFonts w:ascii="仿宋" w:eastAsia="仿宋" w:hAnsi="仿宋"/>
          <w:sz w:val="21"/>
          <w:szCs w:val="21"/>
        </w:rPr>
        <w:t xml:space="preserve">。在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830183626"/>
          <w:text/>
        </w:sdtPr>
        <w:sdtContent>
          <w:r w:rsidR="00317654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1945F9">
        <w:rPr>
          <w:rFonts w:ascii="仿宋" w:eastAsia="仿宋" w:hAnsi="仿宋"/>
          <w:sz w:val="21"/>
          <w:szCs w:val="21"/>
        </w:rPr>
        <w:t>内，各部分占比情况如下：</w:t>
      </w:r>
    </w:p>
    <w:p w14:paraId="0EED434E" w14:textId="318BA9E5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基本工资：占总薪资的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basic_rate"/>
          <w:tag w:val="text"/>
          <w:id w:val="-491564273"/>
          <w:text/>
        </w:sdtPr>
        <w:sdtContent>
          <w:r w:rsidR="003111D7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3111D7" w:rsidRPr="001945F9">
        <w:rPr>
          <w:rFonts w:ascii="仿宋" w:eastAsia="仿宋" w:hAnsi="仿宋"/>
          <w:sz w:val="21"/>
          <w:szCs w:val="21"/>
        </w:rPr>
        <w:t xml:space="preserve"> </w:t>
      </w:r>
      <w:r w:rsidRPr="001945F9">
        <w:rPr>
          <w:rFonts w:ascii="仿宋" w:eastAsia="仿宋" w:hAnsi="仿宋"/>
          <w:sz w:val="21"/>
          <w:szCs w:val="21"/>
        </w:rPr>
        <w:t>%，是员工薪资的基础保障，主要根据员工岗位等级、学历、工作经验等因素确定，为员工提供稳定的收入来源。</w:t>
      </w:r>
    </w:p>
    <w:p w14:paraId="3DF46B28" w14:textId="00835268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绩效工资：占总薪资的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performance_rate"/>
          <w:tag w:val="text"/>
          <w:id w:val="602079359"/>
          <w:text/>
        </w:sdtPr>
        <w:sdtContent>
          <w:r w:rsidR="003111D7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3111D7" w:rsidRPr="001945F9">
        <w:rPr>
          <w:rFonts w:ascii="仿宋" w:eastAsia="仿宋" w:hAnsi="仿宋"/>
          <w:sz w:val="21"/>
          <w:szCs w:val="21"/>
        </w:rPr>
        <w:t xml:space="preserve"> </w:t>
      </w:r>
      <w:r w:rsidRPr="001945F9">
        <w:rPr>
          <w:rFonts w:ascii="仿宋" w:eastAsia="仿宋" w:hAnsi="仿宋"/>
          <w:sz w:val="21"/>
          <w:szCs w:val="21"/>
        </w:rPr>
        <w:t>%，与员工个人绩效、部门绩效紧密挂钩，根据绩效考核结果发放，旨在激励员工提高工作效率和工作质量，体现 “多劳多得” 的原则。</w:t>
      </w:r>
    </w:p>
    <w:p w14:paraId="4A6DB32A" w14:textId="77777777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1945F9">
        <w:rPr>
          <w:rFonts w:ascii="仿宋" w:eastAsia="仿宋" w:hAnsi="仿宋"/>
          <w:color w:val="0000FF"/>
          <w:sz w:val="21"/>
          <w:szCs w:val="21"/>
        </w:rPr>
        <w:t>奖金：占总薪资的 [P3]%，包括季度奖、年终奖等，主要依据公司整体经营业绩、部门业绩以及员工个人贡献发放，是对员工超额完成工作任务或为公司做出突出贡献的奖励。</w:t>
      </w:r>
    </w:p>
    <w:p w14:paraId="1B3AAFF1" w14:textId="77777777" w:rsidR="00EB5EC9" w:rsidRDefault="00000000">
      <w:pPr>
        <w:pStyle w:val="Style13"/>
        <w:numPr>
          <w:ilvl w:val="0"/>
          <w:numId w:val="3"/>
        </w:numPr>
        <w:rPr>
          <w:color w:val="0000FF"/>
        </w:rPr>
      </w:pPr>
      <w:r w:rsidRPr="001945F9">
        <w:rPr>
          <w:rFonts w:ascii="仿宋" w:eastAsia="仿宋" w:hAnsi="仿宋"/>
          <w:color w:val="0000FF"/>
          <w:sz w:val="21"/>
          <w:szCs w:val="21"/>
        </w:rPr>
        <w:t>福利：占总薪资的 [P4]%，涵盖法定福利和公司额外福利，不仅保障了员工的基本权益，也体现了公司对员工的关怀，有助于提升员工的归属感和忠诚度。</w:t>
      </w:r>
    </w:p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p w14:paraId="431E0392" w14:textId="2B53CE90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合理性评估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-2135473117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p w14:paraId="0E48357E" w14:textId="6FAC8249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优化建议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-1028102032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sectPr w:rsidR="00EB5EC9" w:rsidRPr="009E3A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945F9"/>
    <w:rsid w:val="002F3BAE"/>
    <w:rsid w:val="002F519D"/>
    <w:rsid w:val="003111D7"/>
    <w:rsid w:val="00317654"/>
    <w:rsid w:val="003B5CF1"/>
    <w:rsid w:val="003E2D3B"/>
    <w:rsid w:val="00433A0D"/>
    <w:rsid w:val="004417D7"/>
    <w:rsid w:val="00480A61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903146"/>
    <w:rsid w:val="00981514"/>
    <w:rsid w:val="009E3AA7"/>
    <w:rsid w:val="00A559A0"/>
    <w:rsid w:val="00A63E99"/>
    <w:rsid w:val="00A93867"/>
    <w:rsid w:val="00AA01D0"/>
    <w:rsid w:val="00AC7FA6"/>
    <w:rsid w:val="00BF3523"/>
    <w:rsid w:val="00C306EC"/>
    <w:rsid w:val="00C765BC"/>
    <w:rsid w:val="00CE11B6"/>
    <w:rsid w:val="00CE5990"/>
    <w:rsid w:val="00D36A56"/>
    <w:rsid w:val="00D64B86"/>
    <w:rsid w:val="00D7381B"/>
    <w:rsid w:val="00D96618"/>
    <w:rsid w:val="00DA3EE2"/>
    <w:rsid w:val="00E02133"/>
    <w:rsid w:val="00E374C8"/>
    <w:rsid w:val="00E67B64"/>
    <w:rsid w:val="00E855F3"/>
    <w:rsid w:val="00EB22E3"/>
    <w:rsid w:val="00EB5EC9"/>
    <w:rsid w:val="00EC4061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  <w:style w:type="character" w:styleId="aa">
    <w:name w:val="Placeholder Text"/>
    <w:basedOn w:val="a0"/>
    <w:uiPriority w:val="99"/>
    <w:unhideWhenUsed/>
    <w:rsid w:val="00645A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000000" w:rsidRDefault="00A66FCD">
          <w:r w:rsidRPr="000412F4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143F75"/>
    <w:rsid w:val="00592274"/>
    <w:rsid w:val="00903146"/>
    <w:rsid w:val="00916BC8"/>
    <w:rsid w:val="00A66FCD"/>
    <w:rsid w:val="00C316BC"/>
    <w:rsid w:val="00C765BC"/>
    <w:rsid w:val="00CE11B6"/>
    <w:rsid w:val="00DE3425"/>
    <w:rsid w:val="00E17F89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66FCD"/>
    <w:rPr>
      <w:color w:val="666666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54</cp:revision>
  <dcterms:created xsi:type="dcterms:W3CDTF">2025-09-15T03:36:00Z</dcterms:created>
  <dcterms:modified xsi:type="dcterms:W3CDTF">2025-09-16T08:22:00Z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