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109.png" ContentType="image/png"/>
  <Override PartName="/word/media/image77.png" ContentType="image/png"/>
  <Override PartName="/word/media/image108.png" ContentType="image/png"/>
  <Override PartName="/word/media/image76.png" ContentType="image/png"/>
  <Override PartName="/word/media/image64.png" ContentType="image/png"/>
  <Override PartName="/word/media/image63.png" ContentType="image/png"/>
  <Override PartName="/word/media/image62.png" ContentType="image/png"/>
  <Override PartName="/word/media/image61.png" ContentType="image/png"/>
  <Override PartName="/word/media/image60.png" ContentType="image/png"/>
  <Override PartName="/word/media/image59.png" ContentType="image/png"/>
  <Override PartName="/word/media/image58.png" ContentType="image/png"/>
  <Override PartName="/word/media/image51.png" ContentType="image/png"/>
  <Override PartName="/word/media/image5.png" ContentType="image/png"/>
  <Override PartName="/word/media/image100.png" ContentType="image/png"/>
  <Override PartName="/word/media/image52.png" ContentType="image/png"/>
  <Override PartName="/word/media/image6.png" ContentType="image/png"/>
  <Override PartName="/word/media/image38.png" ContentType="image/png"/>
  <Override PartName="/word/media/image133.png" ContentType="image/png"/>
  <Override PartName="/word/media/image33.png" ContentType="image/png"/>
  <Override PartName="/word/media/image1.png" ContentType="image/png"/>
  <Override PartName="/word/media/image110.png" ContentType="image/png"/>
  <Override PartName="/word/media/image10.png" ContentType="image/png"/>
  <Override PartName="/word/media/image47.png" ContentType="image/png"/>
  <Override PartName="/word/media/image101.png" ContentType="image/png"/>
  <Override PartName="/word/media/image53.png" ContentType="image/png"/>
  <Override PartName="/word/media/image7.png" ContentType="image/png"/>
  <Override PartName="/word/media/image39.png" ContentType="image/png"/>
  <Override PartName="/word/media/image134.png" ContentType="image/png"/>
  <Override PartName="/word/media/image34.png" ContentType="image/png"/>
  <Override PartName="/word/media/image2.png" ContentType="image/png"/>
  <Override PartName="/word/media/image111.png" ContentType="image/png"/>
  <Override PartName="/word/media/image11.png" ContentType="image/png"/>
  <Override PartName="/word/media/image48.png" ContentType="image/png"/>
  <Override PartName="/word/media/image45.png" ContentType="image/png"/>
  <Override PartName="/word/media/image46.png" ContentType="image/png"/>
  <Override PartName="/word/media/image37.png" ContentType="image/png"/>
  <Override PartName="/word/media/image137.png" ContentType="image/png"/>
  <Override PartName="/word/media/image89.png" ContentType="image/png"/>
  <Override PartName="/word/media/image42.png" ContentType="image/png"/>
  <Override PartName="/word/media/image40.png" ContentType="image/png"/>
  <Override PartName="/word/media/image43.png" ContentType="image/png"/>
  <Override PartName="/word/media/image41.png" ContentType="image/png"/>
  <Override PartName="/word/media/image88.png" ContentType="image/png"/>
  <Override PartName="/word/media/image132.png" ContentType="image/png"/>
  <Override PartName="/word/media/image32.png" ContentType="image/png"/>
  <Override PartName="/word/media/image44.png" ContentType="image/png"/>
  <Override PartName="/word/media/image56.png" ContentType="image/png"/>
  <Override PartName="/word/media/image131.png" ContentType="image/png"/>
  <Override PartName="/word/media/image31.png" ContentType="image/png"/>
  <Override PartName="/word/media/image30.png" ContentType="image/png"/>
  <Override PartName="/word/media/image130.png" ContentType="image/png"/>
  <Override PartName="/word/media/image50.png" ContentType="image/png"/>
  <Override PartName="/word/media/image4.png" ContentType="image/png"/>
  <Override PartName="/word/media/image136.png" ContentType="image/png"/>
  <Override PartName="/word/media/image36.png" ContentType="image/png"/>
  <Override PartName="/word/media/image9.png" ContentType="image/png"/>
  <Override PartName="/word/media/image55.png" ContentType="image/png"/>
  <Override PartName="/word/media/image57.png" ContentType="image/png"/>
  <Override PartName="/word/media/image112.png" ContentType="image/png"/>
  <Override PartName="/word/media/image80.png" ContentType="image/png"/>
  <Override PartName="/word/media/image12.png" ContentType="image/png"/>
  <Override PartName="/word/media/image3.png" ContentType="image/png"/>
  <Override PartName="/word/media/image49.png" ContentType="image/png"/>
  <Override PartName="/word/media/image135.png" ContentType="image/png"/>
  <Override PartName="/word/media/image35.png" ContentType="image/png"/>
  <Override PartName="/word/media/image8.png" ContentType="image/png"/>
  <Override PartName="/word/media/image54.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66.png" ContentType="image/png"/>
  <Override PartName="/word/media/image14.png" ContentType="image/png"/>
  <Override PartName="/word/media/image82.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84.png" ContentType="image/png"/>
  <Override PartName="/word/media/image116.png" ContentType="image/png"/>
  <Override PartName="/word/media/image69.png" ContentType="image/png"/>
  <Override PartName="/word/media/image85.png" ContentType="image/png"/>
  <Override PartName="/word/media/image17.png" ContentType="image/png"/>
  <Override PartName="/word/media/image117.png" ContentType="image/png"/>
  <Override PartName="/word/media/image102.png" ContentType="image/png"/>
  <Override PartName="/word/media/image70.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24.png" ContentType="image/png"/>
  <Override PartName="/word/media/image92.png" ContentType="image/png"/>
  <Override PartName="/word/media/image124.png" ContentType="image/png"/>
  <Override PartName="/word/media/image25.png" ContentType="image/png"/>
  <Override PartName="/word/media/image93.png" ContentType="image/png"/>
  <Override PartName="/word/media/image125.png" ContentType="image/png"/>
  <Override PartName="/word/media/image78.png" ContentType="image/png"/>
  <Override PartName="/word/media/image26.png" ContentType="image/png"/>
  <Override PartName="/word/media/image126.png" ContentType="image/png"/>
  <Override PartName="/word/media/image94.png" ContentType="image/png"/>
  <Override PartName="/word/media/image79.png" ContentType="image/png"/>
  <Override PartName="/word/media/image27.png" ContentType="image/png"/>
  <Override PartName="/word/media/image127.png" ContentType="image/png"/>
  <Override PartName="/word/media/image95.png" ContentType="image/png"/>
  <Override PartName="/word/media/image28.png" ContentType="image/png"/>
  <Override PartName="/word/media/image128.png" ContentType="image/png"/>
  <Override PartName="/word/media/image96.png" ContentType="image/png"/>
  <Override PartName="/word/media/image29.png" ContentType="image/png"/>
  <Override PartName="/word/media/image129.png" ContentType="image/png"/>
  <Override PartName="/word/media/image97.png" ContentType="image/png"/>
  <Override PartName="/word/media/image98.png" ContentType="image/png"/>
  <Override PartName="/word/media/image9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sz w:val="36"/>
        </w:rPr>
      </w:pPr>
      <w:r>
        <w:rPr>
          <w:sz w:val="36"/>
        </w:rPr>
        <w:t>EdgeCDSS signing batch 3: review packet</w:t>
      </w:r>
    </w:p>
    <w:p>
      <w:pPr>
        <w:pStyle w:val="BodyText"/>
        <w:bidi w:val="0"/>
        <w:jc w:val="left"/>
        <w:rPr/>
      </w:pPr>
      <w:r>
        <w:rPr/>
        <w:t xml:space="preserve">Prepared 2026-10-21 for the owner's review. </w:t>
      </w:r>
      <w:r>
        <w:rPr>
          <w:b/>
        </w:rPr>
        <w:t>Nothing in this packet is signed.</w:t>
      </w:r>
      <w:r>
        <w:rPr/>
        <w:t xml:space="preserve"> Signing is the owner's act: mark SIGN, RETIRE or DEFER on each page.</w:t>
      </w:r>
    </w:p>
    <w:p>
      <w:pPr>
        <w:pStyle w:val="BodyText"/>
        <w:bidi w:val="0"/>
        <w:jc w:val="left"/>
        <w:rPr/>
      </w:pPr>
      <w:r>
        <w:rPr/>
        <w:t>56 pages: 42 unsigned contract entries (the five ketorolac entries the owner excluded on 2026-10-14 are not included), 2 procedure rows (P1, P2) and 12 undrafted indications from the v1.1 list. 22 are pre-marked RETIRE because no JTS or SMOG page states a number; 20 show sources that disagree.</w:t>
      </w:r>
    </w:p>
    <w:p>
      <w:pPr>
        <w:pStyle w:val="BodyText"/>
        <w:bidi w:val="0"/>
        <w:jc w:val="left"/>
        <w:rPr/>
      </w:pPr>
      <w:r>
        <w:rPr>
          <w:b/>
        </w:rPr>
        <w:t>How to read a page.</w:t>
      </w:r>
      <w:r>
        <w:rPr/>
        <w:t xml:space="preserve"> Sources are in order: JTS first, SMOG second, NASEMSO noted only (never the basis for a dose). Each source shows its verbatim quote, the page number printed on the page (with the PDF page index), and a band of the rendered page with the quoted line boxed in red. The proposed dose, max and repeat are as the first JTS (or, failing JTS, SMOG) source states them; "not stated" means the source does not say.</w:t>
      </w:r>
    </w:p>
    <w:tbl>
      <w:tblPr>
        <w:tblW w:w="10512" w:type="dxa"/>
        <w:jc w:val="left"/>
        <w:tblInd w:w="0" w:type="dxa"/>
        <w:tblLayout w:type="fixed"/>
        <w:tblCellMar>
          <w:top w:w="0" w:type="dxa"/>
          <w:left w:w="0" w:type="dxa"/>
          <w:bottom w:w="0" w:type="dxa"/>
          <w:right w:w="0" w:type="dxa"/>
        </w:tblCellMar>
      </w:tblPr>
      <w:tblGrid>
        <w:gridCol w:w="511"/>
        <w:gridCol w:w="2980"/>
        <w:gridCol w:w="5103"/>
        <w:gridCol w:w="941"/>
        <w:gridCol w:w="977"/>
      </w:tblGrid>
      <w:tr>
        <w:trPr/>
        <w:tc>
          <w:tcPr>
            <w:tcW w:w="511" w:type="dxa"/>
            <w:tcBorders/>
            <w:vAlign w:val="center"/>
          </w:tcPr>
          <w:p>
            <w:pPr>
              <w:pStyle w:val="TableContents"/>
              <w:bidi w:val="0"/>
              <w:ind w:hanging="0" w:left="0" w:right="0"/>
              <w:jc w:val="left"/>
              <w:rPr/>
            </w:pPr>
            <w:r>
              <w:rPr/>
              <w:t>E01</w:t>
            </w:r>
          </w:p>
        </w:tc>
        <w:tc>
          <w:tcPr>
            <w:tcW w:w="2980" w:type="dxa"/>
            <w:tcBorders/>
            <w:vAlign w:val="center"/>
          </w:tcPr>
          <w:p>
            <w:pPr>
              <w:pStyle w:val="TableContents"/>
              <w:bidi w:val="0"/>
              <w:ind w:hanging="0" w:left="0" w:right="0"/>
              <w:jc w:val="left"/>
              <w:rPr/>
            </w:pPr>
            <w:r>
              <w:rPr/>
              <w:t>ketamine</w:t>
            </w:r>
          </w:p>
        </w:tc>
        <w:tc>
          <w:tcPr>
            <w:tcW w:w="5103" w:type="dxa"/>
            <w:tcBorders/>
            <w:vAlign w:val="center"/>
          </w:tcPr>
          <w:p>
            <w:pPr>
              <w:pStyle w:val="TableContents"/>
              <w:bidi w:val="0"/>
              <w:ind w:hanging="0" w:left="0" w:right="0"/>
              <w:jc w:val="left"/>
              <w:rPr/>
            </w:pPr>
            <w:r>
              <w:rPr/>
              <w:t>prolonged sedation infusion — SMOG (en route)</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E02</w:t>
            </w:r>
          </w:p>
        </w:tc>
        <w:tc>
          <w:tcPr>
            <w:tcW w:w="2980" w:type="dxa"/>
            <w:tcBorders/>
            <w:vAlign w:val="center"/>
          </w:tcPr>
          <w:p>
            <w:pPr>
              <w:pStyle w:val="TableContents"/>
              <w:bidi w:val="0"/>
              <w:ind w:hanging="0" w:left="0" w:right="0"/>
              <w:jc w:val="left"/>
              <w:rPr/>
            </w:pPr>
            <w:r>
              <w:rPr/>
              <w:t>ketamine</w:t>
            </w:r>
          </w:p>
        </w:tc>
        <w:tc>
          <w:tcPr>
            <w:tcW w:w="5103" w:type="dxa"/>
            <w:tcBorders/>
            <w:vAlign w:val="center"/>
          </w:tcPr>
          <w:p>
            <w:pPr>
              <w:pStyle w:val="TableContents"/>
              <w:bidi w:val="0"/>
              <w:ind w:hanging="0" w:left="0" w:right="0"/>
              <w:jc w:val="left"/>
              <w:rPr/>
            </w:pPr>
            <w:r>
              <w:rPr/>
              <w:t>prolonged sedation infusion</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E03</w:t>
            </w:r>
          </w:p>
        </w:tc>
        <w:tc>
          <w:tcPr>
            <w:tcW w:w="2980" w:type="dxa"/>
            <w:tcBorders/>
            <w:vAlign w:val="center"/>
          </w:tcPr>
          <w:p>
            <w:pPr>
              <w:pStyle w:val="TableContents"/>
              <w:bidi w:val="0"/>
              <w:ind w:hanging="0" w:left="0" w:right="0"/>
              <w:jc w:val="left"/>
              <w:rPr/>
            </w:pPr>
            <w:r>
              <w:rPr/>
              <w:t>ketamine</w:t>
            </w:r>
          </w:p>
        </w:tc>
        <w:tc>
          <w:tcPr>
            <w:tcW w:w="5103" w:type="dxa"/>
            <w:tcBorders/>
            <w:vAlign w:val="center"/>
          </w:tcPr>
          <w:p>
            <w:pPr>
              <w:pStyle w:val="TableContents"/>
              <w:bidi w:val="0"/>
              <w:ind w:hanging="0" w:left="0" w:right="0"/>
              <w:jc w:val="left"/>
              <w:rPr/>
            </w:pPr>
            <w:r>
              <w:rPr/>
              <w:t>moderate to severe pain / analgesia</w:t>
            </w:r>
          </w:p>
        </w:tc>
        <w:tc>
          <w:tcPr>
            <w:tcW w:w="941" w:type="dxa"/>
            <w:tcBorders/>
            <w:vAlign w:val="center"/>
          </w:tcPr>
          <w:p>
            <w:pPr>
              <w:pStyle w:val="TableContents"/>
              <w:bidi w:val="0"/>
              <w:ind w:hanging="0" w:left="0" w:right="0"/>
              <w:jc w:val="left"/>
              <w:rPr/>
            </w:pPr>
            <w:r>
              <w:rPr/>
              <w:t>adult|peds IM</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E04</w:t>
            </w:r>
          </w:p>
        </w:tc>
        <w:tc>
          <w:tcPr>
            <w:tcW w:w="2980" w:type="dxa"/>
            <w:tcBorders/>
            <w:vAlign w:val="center"/>
          </w:tcPr>
          <w:p>
            <w:pPr>
              <w:pStyle w:val="TableContents"/>
              <w:bidi w:val="0"/>
              <w:ind w:hanging="0" w:left="0" w:right="0"/>
              <w:jc w:val="left"/>
              <w:rPr/>
            </w:pPr>
            <w:r>
              <w:rPr/>
              <w:t>ketamine</w:t>
            </w:r>
          </w:p>
        </w:tc>
        <w:tc>
          <w:tcPr>
            <w:tcW w:w="5103" w:type="dxa"/>
            <w:tcBorders/>
            <w:vAlign w:val="center"/>
          </w:tcPr>
          <w:p>
            <w:pPr>
              <w:pStyle w:val="TableContents"/>
              <w:bidi w:val="0"/>
              <w:ind w:hanging="0" w:left="0" w:right="0"/>
              <w:jc w:val="left"/>
              <w:rPr/>
            </w:pPr>
            <w:r>
              <w:rPr/>
              <w:t>moderate to severe pain / analgesia</w:t>
            </w:r>
          </w:p>
        </w:tc>
        <w:tc>
          <w:tcPr>
            <w:tcW w:w="941" w:type="dxa"/>
            <w:tcBorders/>
            <w:vAlign w:val="center"/>
          </w:tcPr>
          <w:p>
            <w:pPr>
              <w:pStyle w:val="TableContents"/>
              <w:bidi w:val="0"/>
              <w:ind w:hanging="0" w:left="0" w:right="0"/>
              <w:jc w:val="left"/>
              <w:rPr/>
            </w:pPr>
            <w:r>
              <w:rPr/>
              <w:t>peds IN</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E05</w:t>
            </w:r>
          </w:p>
        </w:tc>
        <w:tc>
          <w:tcPr>
            <w:tcW w:w="2980" w:type="dxa"/>
            <w:tcBorders/>
            <w:vAlign w:val="center"/>
          </w:tcPr>
          <w:p>
            <w:pPr>
              <w:pStyle w:val="TableContents"/>
              <w:bidi w:val="0"/>
              <w:ind w:hanging="0" w:left="0" w:right="0"/>
              <w:jc w:val="left"/>
              <w:rPr/>
            </w:pPr>
            <w:r>
              <w:rPr/>
              <w:t>epinephrine</w:t>
            </w:r>
          </w:p>
        </w:tc>
        <w:tc>
          <w:tcPr>
            <w:tcW w:w="5103" w:type="dxa"/>
            <w:tcBorders/>
            <w:vAlign w:val="center"/>
          </w:tcPr>
          <w:p>
            <w:pPr>
              <w:pStyle w:val="TableContents"/>
              <w:bidi w:val="0"/>
              <w:ind w:hanging="0" w:left="0" w:right="0"/>
              <w:jc w:val="left"/>
              <w:rPr/>
            </w:pPr>
            <w:r>
              <w:rPr/>
              <w:t>push-dose vasopressor for hypotension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E06</w:t>
            </w:r>
          </w:p>
        </w:tc>
        <w:tc>
          <w:tcPr>
            <w:tcW w:w="2980" w:type="dxa"/>
            <w:tcBorders/>
            <w:vAlign w:val="center"/>
          </w:tcPr>
          <w:p>
            <w:pPr>
              <w:pStyle w:val="TableContents"/>
              <w:bidi w:val="0"/>
              <w:ind w:hanging="0" w:left="0" w:right="0"/>
              <w:jc w:val="left"/>
              <w:rPr/>
            </w:pPr>
            <w:r>
              <w:rPr/>
              <w:t>epinephrine</w:t>
            </w:r>
          </w:p>
        </w:tc>
        <w:tc>
          <w:tcPr>
            <w:tcW w:w="5103" w:type="dxa"/>
            <w:tcBorders/>
            <w:vAlign w:val="center"/>
          </w:tcPr>
          <w:p>
            <w:pPr>
              <w:pStyle w:val="TableContents"/>
              <w:bidi w:val="0"/>
              <w:ind w:hanging="0" w:left="0" w:right="0"/>
              <w:jc w:val="left"/>
              <w:rPr/>
            </w:pPr>
            <w:r>
              <w:rPr/>
              <w:t>infusion for refractory shock</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E07</w:t>
            </w:r>
          </w:p>
        </w:tc>
        <w:tc>
          <w:tcPr>
            <w:tcW w:w="2980" w:type="dxa"/>
            <w:tcBorders/>
            <w:vAlign w:val="center"/>
          </w:tcPr>
          <w:p>
            <w:pPr>
              <w:pStyle w:val="TableContents"/>
              <w:bidi w:val="0"/>
              <w:ind w:hanging="0" w:left="0" w:right="0"/>
              <w:jc w:val="left"/>
              <w:rPr/>
            </w:pPr>
            <w:r>
              <w:rPr/>
              <w:t>rocuronium</w:t>
            </w:r>
          </w:p>
        </w:tc>
        <w:tc>
          <w:tcPr>
            <w:tcW w:w="5103" w:type="dxa"/>
            <w:tcBorders/>
            <w:vAlign w:val="center"/>
          </w:tcPr>
          <w:p>
            <w:pPr>
              <w:pStyle w:val="TableContents"/>
              <w:bidi w:val="0"/>
              <w:ind w:hanging="0" w:left="0" w:right="0"/>
              <w:jc w:val="left"/>
              <w:rPr/>
            </w:pPr>
            <w:r>
              <w:rPr/>
              <w:t>redose interval</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E08</w:t>
            </w:r>
          </w:p>
        </w:tc>
        <w:tc>
          <w:tcPr>
            <w:tcW w:w="2980" w:type="dxa"/>
            <w:tcBorders/>
            <w:vAlign w:val="center"/>
          </w:tcPr>
          <w:p>
            <w:pPr>
              <w:pStyle w:val="TableContents"/>
              <w:bidi w:val="0"/>
              <w:ind w:hanging="0" w:left="0" w:right="0"/>
              <w:jc w:val="left"/>
              <w:rPr/>
            </w:pPr>
            <w:r>
              <w:rPr/>
              <w:t>rocuronium</w:t>
            </w:r>
          </w:p>
        </w:tc>
        <w:tc>
          <w:tcPr>
            <w:tcW w:w="5103" w:type="dxa"/>
            <w:tcBorders/>
            <w:vAlign w:val="center"/>
          </w:tcPr>
          <w:p>
            <w:pPr>
              <w:pStyle w:val="TableContents"/>
              <w:bidi w:val="0"/>
              <w:ind w:hanging="0" w:left="0" w:right="0"/>
              <w:jc w:val="left"/>
              <w:rPr/>
            </w:pPr>
            <w:r>
              <w:rPr/>
              <w:t>redose interval</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E09</w:t>
            </w:r>
          </w:p>
        </w:tc>
        <w:tc>
          <w:tcPr>
            <w:tcW w:w="2980" w:type="dxa"/>
            <w:tcBorders/>
            <w:vAlign w:val="center"/>
          </w:tcPr>
          <w:p>
            <w:pPr>
              <w:pStyle w:val="TableContents"/>
              <w:bidi w:val="0"/>
              <w:ind w:hanging="0" w:left="0" w:right="0"/>
              <w:jc w:val="left"/>
              <w:rPr/>
            </w:pPr>
            <w:r>
              <w:rPr/>
              <w:t>fentanyl</w:t>
            </w:r>
          </w:p>
        </w:tc>
        <w:tc>
          <w:tcPr>
            <w:tcW w:w="5103" w:type="dxa"/>
            <w:tcBorders/>
            <w:vAlign w:val="center"/>
          </w:tcPr>
          <w:p>
            <w:pPr>
              <w:pStyle w:val="TableContents"/>
              <w:bidi w:val="0"/>
              <w:ind w:hanging="0" w:left="0" w:right="0"/>
              <w:jc w:val="left"/>
              <w:rPr/>
            </w:pPr>
            <w:r>
              <w:rPr/>
              <w:t>analgesia infusion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E10</w:t>
            </w:r>
          </w:p>
        </w:tc>
        <w:tc>
          <w:tcPr>
            <w:tcW w:w="2980" w:type="dxa"/>
            <w:tcBorders/>
            <w:vAlign w:val="center"/>
          </w:tcPr>
          <w:p>
            <w:pPr>
              <w:pStyle w:val="TableContents"/>
              <w:bidi w:val="0"/>
              <w:ind w:hanging="0" w:left="0" w:right="0"/>
              <w:jc w:val="left"/>
              <w:rPr/>
            </w:pPr>
            <w:r>
              <w:rPr/>
              <w:t>ertapenem</w:t>
            </w:r>
          </w:p>
        </w:tc>
        <w:tc>
          <w:tcPr>
            <w:tcW w:w="5103" w:type="dxa"/>
            <w:tcBorders/>
            <w:vAlign w:val="center"/>
          </w:tcPr>
          <w:p>
            <w:pPr>
              <w:pStyle w:val="TableContents"/>
              <w:bidi w:val="0"/>
              <w:ind w:hanging="0" w:left="0" w:right="0"/>
              <w:jc w:val="left"/>
              <w:rPr/>
            </w:pPr>
            <w:r>
              <w:rPr/>
              <w:t>penetrating abdominal injury</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E11</w:t>
            </w:r>
          </w:p>
        </w:tc>
        <w:tc>
          <w:tcPr>
            <w:tcW w:w="2980" w:type="dxa"/>
            <w:tcBorders/>
            <w:vAlign w:val="center"/>
          </w:tcPr>
          <w:p>
            <w:pPr>
              <w:pStyle w:val="TableContents"/>
              <w:bidi w:val="0"/>
              <w:ind w:hanging="0" w:left="0" w:right="0"/>
              <w:jc w:val="left"/>
              <w:rPr/>
            </w:pPr>
            <w:r>
              <w:rPr/>
              <w:t>moxifloxacin</w:t>
            </w:r>
          </w:p>
        </w:tc>
        <w:tc>
          <w:tcPr>
            <w:tcW w:w="5103" w:type="dxa"/>
            <w:tcBorders/>
            <w:vAlign w:val="center"/>
          </w:tcPr>
          <w:p>
            <w:pPr>
              <w:pStyle w:val="TableContents"/>
              <w:bidi w:val="0"/>
              <w:ind w:hanging="0" w:left="0" w:right="0"/>
              <w:jc w:val="left"/>
              <w:rPr/>
            </w:pPr>
            <w:r>
              <w:rPr/>
              <w:t>combat wound prophylaxis (oral)</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E12</w:t>
            </w:r>
          </w:p>
        </w:tc>
        <w:tc>
          <w:tcPr>
            <w:tcW w:w="2980" w:type="dxa"/>
            <w:tcBorders/>
            <w:vAlign w:val="center"/>
          </w:tcPr>
          <w:p>
            <w:pPr>
              <w:pStyle w:val="TableContents"/>
              <w:bidi w:val="0"/>
              <w:ind w:hanging="0" w:left="0" w:right="0"/>
              <w:jc w:val="left"/>
              <w:rPr/>
            </w:pPr>
            <w:r>
              <w:rPr/>
              <w:t>ceftriaxone</w:t>
            </w:r>
          </w:p>
        </w:tc>
        <w:tc>
          <w:tcPr>
            <w:tcW w:w="5103" w:type="dxa"/>
            <w:tcBorders/>
            <w:vAlign w:val="center"/>
          </w:tcPr>
          <w:p>
            <w:pPr>
              <w:pStyle w:val="TableContents"/>
              <w:bidi w:val="0"/>
              <w:ind w:hanging="0" w:left="0" w:right="0"/>
              <w:jc w:val="left"/>
              <w:rPr/>
            </w:pPr>
            <w:r>
              <w:rPr/>
              <w:t>sepsis</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E13</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procedural sedation — SMOG (pacing / cardioversion)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E14</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sedation infusion for the ventilated patient</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E15</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sedation infusion for the ventilated patient — ICU order set (fixed rate)</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E16</w:t>
            </w:r>
          </w:p>
        </w:tc>
        <w:tc>
          <w:tcPr>
            <w:tcW w:w="2980" w:type="dxa"/>
            <w:tcBorders/>
            <w:vAlign w:val="center"/>
          </w:tcPr>
          <w:p>
            <w:pPr>
              <w:pStyle w:val="TableContents"/>
              <w:bidi w:val="0"/>
              <w:ind w:hanging="0" w:left="0" w:right="0"/>
              <w:jc w:val="left"/>
              <w:rPr/>
            </w:pPr>
            <w:r>
              <w:rPr/>
              <w:t>dextrose</w:t>
            </w:r>
          </w:p>
        </w:tc>
        <w:tc>
          <w:tcPr>
            <w:tcW w:w="5103" w:type="dxa"/>
            <w:tcBorders/>
            <w:vAlign w:val="center"/>
          </w:tcPr>
          <w:p>
            <w:pPr>
              <w:pStyle w:val="TableContents"/>
              <w:bidi w:val="0"/>
              <w:ind w:hanging="0" w:left="0" w:right="0"/>
              <w:jc w:val="left"/>
              <w:rPr/>
            </w:pPr>
            <w:r>
              <w:rPr/>
              <w:t>neonatal hypoglycaemia</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E17</w:t>
            </w:r>
          </w:p>
        </w:tc>
        <w:tc>
          <w:tcPr>
            <w:tcW w:w="2980" w:type="dxa"/>
            <w:tcBorders/>
            <w:vAlign w:val="center"/>
          </w:tcPr>
          <w:p>
            <w:pPr>
              <w:pStyle w:val="TableContents"/>
              <w:bidi w:val="0"/>
              <w:ind w:hanging="0" w:left="0" w:right="0"/>
              <w:jc w:val="left"/>
              <w:rPr/>
            </w:pPr>
            <w:r>
              <w:rPr/>
              <w:t>propofol</w:t>
            </w:r>
          </w:p>
        </w:tc>
        <w:tc>
          <w:tcPr>
            <w:tcW w:w="5103" w:type="dxa"/>
            <w:tcBorders/>
            <w:vAlign w:val="center"/>
          </w:tcPr>
          <w:p>
            <w:pPr>
              <w:pStyle w:val="TableContents"/>
              <w:bidi w:val="0"/>
              <w:ind w:hanging="0" w:left="0" w:right="0"/>
              <w:jc w:val="left"/>
              <w:rPr/>
            </w:pPr>
            <w:r>
              <w:rPr/>
              <w:t>induction of anaesthesia</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E18</w:t>
            </w:r>
          </w:p>
        </w:tc>
        <w:tc>
          <w:tcPr>
            <w:tcW w:w="2980" w:type="dxa"/>
            <w:tcBorders/>
            <w:vAlign w:val="center"/>
          </w:tcPr>
          <w:p>
            <w:pPr>
              <w:pStyle w:val="TableContents"/>
              <w:bidi w:val="0"/>
              <w:ind w:hanging="0" w:left="0" w:right="0"/>
              <w:jc w:val="left"/>
              <w:rPr/>
            </w:pPr>
            <w:r>
              <w:rPr/>
              <w:t>propofol</w:t>
            </w:r>
          </w:p>
        </w:tc>
        <w:tc>
          <w:tcPr>
            <w:tcW w:w="5103" w:type="dxa"/>
            <w:tcBorders/>
            <w:vAlign w:val="center"/>
          </w:tcPr>
          <w:p>
            <w:pPr>
              <w:pStyle w:val="TableContents"/>
              <w:bidi w:val="0"/>
              <w:ind w:hanging="0" w:left="0" w:right="0"/>
              <w:jc w:val="left"/>
              <w:rPr/>
            </w:pPr>
            <w:r>
              <w:rPr/>
              <w:t>sedation infusion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E19</w:t>
            </w:r>
          </w:p>
        </w:tc>
        <w:tc>
          <w:tcPr>
            <w:tcW w:w="2980" w:type="dxa"/>
            <w:tcBorders/>
            <w:vAlign w:val="center"/>
          </w:tcPr>
          <w:p>
            <w:pPr>
              <w:pStyle w:val="TableContents"/>
              <w:bidi w:val="0"/>
              <w:ind w:hanging="0" w:left="0" w:right="0"/>
              <w:jc w:val="left"/>
              <w:rPr/>
            </w:pPr>
            <w:r>
              <w:rPr/>
              <w:t>calcium gluconate</w:t>
            </w:r>
          </w:p>
        </w:tc>
        <w:tc>
          <w:tcPr>
            <w:tcW w:w="5103" w:type="dxa"/>
            <w:tcBorders/>
            <w:vAlign w:val="center"/>
          </w:tcPr>
          <w:p>
            <w:pPr>
              <w:pStyle w:val="TableContents"/>
              <w:bidi w:val="0"/>
              <w:ind w:hanging="0" w:left="0" w:right="0"/>
              <w:jc w:val="left"/>
              <w:rPr/>
            </w:pPr>
            <w:r>
              <w:rPr/>
              <w:t>hypocalcaemia after massive transfusion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E20</w:t>
            </w:r>
          </w:p>
        </w:tc>
        <w:tc>
          <w:tcPr>
            <w:tcW w:w="2980" w:type="dxa"/>
            <w:tcBorders/>
            <w:vAlign w:val="center"/>
          </w:tcPr>
          <w:p>
            <w:pPr>
              <w:pStyle w:val="TableContents"/>
              <w:bidi w:val="0"/>
              <w:ind w:hanging="0" w:left="0" w:right="0"/>
              <w:jc w:val="left"/>
              <w:rPr/>
            </w:pPr>
            <w:r>
              <w:rPr/>
              <w:t>naloxone</w:t>
            </w:r>
          </w:p>
        </w:tc>
        <w:tc>
          <w:tcPr>
            <w:tcW w:w="5103" w:type="dxa"/>
            <w:tcBorders/>
            <w:vAlign w:val="center"/>
          </w:tcPr>
          <w:p>
            <w:pPr>
              <w:pStyle w:val="TableContents"/>
              <w:bidi w:val="0"/>
              <w:ind w:hanging="0" w:left="0" w:right="0"/>
              <w:jc w:val="left"/>
              <w:rPr/>
            </w:pPr>
            <w:r>
              <w:rPr/>
              <w:t>opioid-induced respiratory depression</w:t>
            </w:r>
          </w:p>
        </w:tc>
        <w:tc>
          <w:tcPr>
            <w:tcW w:w="941" w:type="dxa"/>
            <w:tcBorders/>
            <w:vAlign w:val="center"/>
          </w:tcPr>
          <w:p>
            <w:pPr>
              <w:pStyle w:val="TableContents"/>
              <w:bidi w:val="0"/>
              <w:ind w:hanging="0" w:left="0" w:right="0"/>
              <w:jc w:val="left"/>
              <w:rPr/>
            </w:pPr>
            <w:r>
              <w:rPr/>
              <w:t>adult|peds IN</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E21</w:t>
            </w:r>
          </w:p>
        </w:tc>
        <w:tc>
          <w:tcPr>
            <w:tcW w:w="2980" w:type="dxa"/>
            <w:tcBorders/>
            <w:vAlign w:val="center"/>
          </w:tcPr>
          <w:p>
            <w:pPr>
              <w:pStyle w:val="TableContents"/>
              <w:bidi w:val="0"/>
              <w:ind w:hanging="0" w:left="0" w:right="0"/>
              <w:jc w:val="left"/>
              <w:rPr/>
            </w:pPr>
            <w:r>
              <w:rPr/>
              <w:t>phytomenadione</w:t>
            </w:r>
          </w:p>
        </w:tc>
        <w:tc>
          <w:tcPr>
            <w:tcW w:w="5103" w:type="dxa"/>
            <w:tcBorders/>
            <w:vAlign w:val="center"/>
          </w:tcPr>
          <w:p>
            <w:pPr>
              <w:pStyle w:val="TableContents"/>
              <w:bidi w:val="0"/>
              <w:ind w:hanging="0" w:left="0" w:right="0"/>
              <w:jc w:val="left"/>
              <w:rPr/>
            </w:pPr>
            <w:r>
              <w:rPr/>
              <w:t>warfarin reversal</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E22</w:t>
            </w:r>
          </w:p>
        </w:tc>
        <w:tc>
          <w:tcPr>
            <w:tcW w:w="2980" w:type="dxa"/>
            <w:tcBorders/>
            <w:vAlign w:val="center"/>
          </w:tcPr>
          <w:p>
            <w:pPr>
              <w:pStyle w:val="TableContents"/>
              <w:bidi w:val="0"/>
              <w:ind w:hanging="0" w:left="0" w:right="0"/>
              <w:jc w:val="left"/>
              <w:rPr/>
            </w:pPr>
            <w:r>
              <w:rPr/>
              <w:t>phytomenadione</w:t>
            </w:r>
          </w:p>
        </w:tc>
        <w:tc>
          <w:tcPr>
            <w:tcW w:w="5103" w:type="dxa"/>
            <w:tcBorders/>
            <w:vAlign w:val="center"/>
          </w:tcPr>
          <w:p>
            <w:pPr>
              <w:pStyle w:val="TableContents"/>
              <w:bidi w:val="0"/>
              <w:ind w:hanging="0" w:left="0" w:right="0"/>
              <w:jc w:val="left"/>
              <w:rPr/>
            </w:pPr>
            <w:r>
              <w:rPr/>
              <w:t>haemorrhagic disease of the newborn — prophylaxis</w:t>
            </w:r>
          </w:p>
        </w:tc>
        <w:tc>
          <w:tcPr>
            <w:tcW w:w="941" w:type="dxa"/>
            <w:tcBorders/>
            <w:vAlign w:val="center"/>
          </w:tcPr>
          <w:p>
            <w:pPr>
              <w:pStyle w:val="TableContents"/>
              <w:bidi w:val="0"/>
              <w:ind w:hanging="0" w:left="0" w:right="0"/>
              <w:jc w:val="left"/>
              <w:rPr/>
            </w:pPr>
            <w:r>
              <w:rPr/>
              <w:t>peds IM</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E23</w:t>
            </w:r>
          </w:p>
        </w:tc>
        <w:tc>
          <w:tcPr>
            <w:tcW w:w="2980" w:type="dxa"/>
            <w:tcBorders/>
            <w:vAlign w:val="center"/>
          </w:tcPr>
          <w:p>
            <w:pPr>
              <w:pStyle w:val="TableContents"/>
              <w:bidi w:val="0"/>
              <w:ind w:hanging="0" w:left="0" w:right="0"/>
              <w:jc w:val="left"/>
              <w:rPr/>
            </w:pPr>
            <w:r>
              <w:rPr/>
              <w:t>artesunate</w:t>
            </w:r>
          </w:p>
        </w:tc>
        <w:tc>
          <w:tcPr>
            <w:tcW w:w="5103" w:type="dxa"/>
            <w:tcBorders/>
            <w:vAlign w:val="center"/>
          </w:tcPr>
          <w:p>
            <w:pPr>
              <w:pStyle w:val="TableContents"/>
              <w:bidi w:val="0"/>
              <w:ind w:hanging="0" w:left="0" w:right="0"/>
              <w:jc w:val="left"/>
              <w:rPr/>
            </w:pPr>
            <w:r>
              <w:rPr/>
              <w:t>severe malaria</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E24</w:t>
            </w:r>
          </w:p>
        </w:tc>
        <w:tc>
          <w:tcPr>
            <w:tcW w:w="2980" w:type="dxa"/>
            <w:tcBorders/>
            <w:vAlign w:val="center"/>
          </w:tcPr>
          <w:p>
            <w:pPr>
              <w:pStyle w:val="TableContents"/>
              <w:bidi w:val="0"/>
              <w:ind w:hanging="0" w:left="0" w:right="0"/>
              <w:jc w:val="left"/>
              <w:rPr/>
            </w:pPr>
            <w:r>
              <w:rPr/>
              <w:t>artesunate</w:t>
            </w:r>
          </w:p>
        </w:tc>
        <w:tc>
          <w:tcPr>
            <w:tcW w:w="5103" w:type="dxa"/>
            <w:tcBorders/>
            <w:vAlign w:val="center"/>
          </w:tcPr>
          <w:p>
            <w:pPr>
              <w:pStyle w:val="TableContents"/>
              <w:bidi w:val="0"/>
              <w:ind w:hanging="0" w:left="0" w:right="0"/>
              <w:jc w:val="left"/>
              <w:rPr/>
            </w:pPr>
            <w:r>
              <w:rPr/>
              <w:t>severe malaria</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E25</w:t>
            </w:r>
          </w:p>
        </w:tc>
        <w:tc>
          <w:tcPr>
            <w:tcW w:w="2980" w:type="dxa"/>
            <w:tcBorders/>
            <w:vAlign w:val="center"/>
          </w:tcPr>
          <w:p>
            <w:pPr>
              <w:pStyle w:val="TableContents"/>
              <w:bidi w:val="0"/>
              <w:ind w:hanging="0" w:left="0" w:right="0"/>
              <w:jc w:val="left"/>
              <w:rPr/>
            </w:pPr>
            <w:r>
              <w:rPr/>
              <w:t>artesunate</w:t>
            </w:r>
          </w:p>
        </w:tc>
        <w:tc>
          <w:tcPr>
            <w:tcW w:w="5103" w:type="dxa"/>
            <w:tcBorders/>
            <w:vAlign w:val="center"/>
          </w:tcPr>
          <w:p>
            <w:pPr>
              <w:pStyle w:val="TableContents"/>
              <w:bidi w:val="0"/>
              <w:ind w:hanging="0" w:left="0" w:right="0"/>
              <w:jc w:val="left"/>
              <w:rPr/>
            </w:pPr>
            <w:r>
              <w:rPr/>
              <w:t>severe malaria — pre-referral only</w:t>
            </w:r>
          </w:p>
        </w:tc>
        <w:tc>
          <w:tcPr>
            <w:tcW w:w="941" w:type="dxa"/>
            <w:tcBorders/>
            <w:vAlign w:val="center"/>
          </w:tcPr>
          <w:p>
            <w:pPr>
              <w:pStyle w:val="TableContents"/>
              <w:bidi w:val="0"/>
              <w:ind w:hanging="0" w:left="0" w:right="0"/>
              <w:jc w:val="left"/>
              <w:rPr/>
            </w:pPr>
            <w:r>
              <w:rPr/>
              <w:t>adult|peds PR</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E26</w:t>
            </w:r>
          </w:p>
        </w:tc>
        <w:tc>
          <w:tcPr>
            <w:tcW w:w="2980" w:type="dxa"/>
            <w:tcBorders/>
            <w:vAlign w:val="center"/>
          </w:tcPr>
          <w:p>
            <w:pPr>
              <w:pStyle w:val="TableContents"/>
              <w:bidi w:val="0"/>
              <w:ind w:hanging="0" w:left="0" w:right="0"/>
              <w:jc w:val="left"/>
              <w:rPr/>
            </w:pPr>
            <w:r>
              <w:rPr/>
              <w:t>artemether</w:t>
            </w:r>
          </w:p>
        </w:tc>
        <w:tc>
          <w:tcPr>
            <w:tcW w:w="5103" w:type="dxa"/>
            <w:tcBorders/>
            <w:vAlign w:val="center"/>
          </w:tcPr>
          <w:p>
            <w:pPr>
              <w:pStyle w:val="TableContents"/>
              <w:bidi w:val="0"/>
              <w:ind w:hanging="0" w:left="0" w:right="0"/>
              <w:jc w:val="left"/>
              <w:rPr/>
            </w:pPr>
            <w:r>
              <w:rPr/>
              <w:t>severe malaria</w:t>
            </w:r>
          </w:p>
        </w:tc>
        <w:tc>
          <w:tcPr>
            <w:tcW w:w="941" w:type="dxa"/>
            <w:tcBorders/>
            <w:vAlign w:val="center"/>
          </w:tcPr>
          <w:p>
            <w:pPr>
              <w:pStyle w:val="TableContents"/>
              <w:bidi w:val="0"/>
              <w:ind w:hanging="0" w:left="0" w:right="0"/>
              <w:jc w:val="left"/>
              <w:rPr/>
            </w:pPr>
            <w:r>
              <w:rPr/>
              <w:t>adult|peds IM</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E27</w:t>
            </w:r>
          </w:p>
        </w:tc>
        <w:tc>
          <w:tcPr>
            <w:tcW w:w="2980" w:type="dxa"/>
            <w:tcBorders/>
            <w:vAlign w:val="center"/>
          </w:tcPr>
          <w:p>
            <w:pPr>
              <w:pStyle w:val="TableContents"/>
              <w:bidi w:val="0"/>
              <w:ind w:hanging="0" w:left="0" w:right="0"/>
              <w:jc w:val="left"/>
              <w:rPr/>
            </w:pPr>
            <w:r>
              <w:rPr/>
              <w:t>artemether + lumefantrine</w:t>
            </w:r>
          </w:p>
        </w:tc>
        <w:tc>
          <w:tcPr>
            <w:tcW w:w="5103" w:type="dxa"/>
            <w:tcBorders/>
            <w:vAlign w:val="center"/>
          </w:tcPr>
          <w:p>
            <w:pPr>
              <w:pStyle w:val="TableContents"/>
              <w:bidi w:val="0"/>
              <w:ind w:hanging="0" w:left="0" w:right="0"/>
              <w:jc w:val="left"/>
              <w:rPr/>
            </w:pPr>
            <w:r>
              <w:rPr/>
              <w:t>uncomplicated P. falciparum malaria</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E28</w:t>
            </w:r>
          </w:p>
        </w:tc>
        <w:tc>
          <w:tcPr>
            <w:tcW w:w="2980" w:type="dxa"/>
            <w:tcBorders/>
            <w:vAlign w:val="center"/>
          </w:tcPr>
          <w:p>
            <w:pPr>
              <w:pStyle w:val="TableContents"/>
              <w:bidi w:val="0"/>
              <w:ind w:hanging="0" w:left="0" w:right="0"/>
              <w:jc w:val="left"/>
              <w:rPr/>
            </w:pPr>
            <w:r>
              <w:rPr/>
              <w:t>artemether + lumefantrine</w:t>
            </w:r>
          </w:p>
        </w:tc>
        <w:tc>
          <w:tcPr>
            <w:tcW w:w="5103" w:type="dxa"/>
            <w:tcBorders/>
            <w:vAlign w:val="center"/>
          </w:tcPr>
          <w:p>
            <w:pPr>
              <w:pStyle w:val="TableContents"/>
              <w:bidi w:val="0"/>
              <w:ind w:hanging="0" w:left="0" w:right="0"/>
              <w:jc w:val="left"/>
              <w:rPr/>
            </w:pPr>
            <w:r>
              <w:rPr/>
              <w:t>uncomplicated P. falciparum malaria</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E29</w:t>
            </w:r>
          </w:p>
        </w:tc>
        <w:tc>
          <w:tcPr>
            <w:tcW w:w="2980" w:type="dxa"/>
            <w:tcBorders/>
            <w:vAlign w:val="center"/>
          </w:tcPr>
          <w:p>
            <w:pPr>
              <w:pStyle w:val="TableContents"/>
              <w:bidi w:val="0"/>
              <w:ind w:hanging="0" w:left="0" w:right="0"/>
              <w:jc w:val="left"/>
              <w:rPr/>
            </w:pPr>
            <w:r>
              <w:rPr/>
              <w:t>quinine</w:t>
            </w:r>
          </w:p>
        </w:tc>
        <w:tc>
          <w:tcPr>
            <w:tcW w:w="5103" w:type="dxa"/>
            <w:tcBorders/>
            <w:vAlign w:val="center"/>
          </w:tcPr>
          <w:p>
            <w:pPr>
              <w:pStyle w:val="TableContents"/>
              <w:bidi w:val="0"/>
              <w:ind w:hanging="0" w:left="0" w:right="0"/>
              <w:jc w:val="left"/>
              <w:rPr/>
            </w:pPr>
            <w:r>
              <w:rPr/>
              <w:t>severe malaria</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E30</w:t>
            </w:r>
          </w:p>
        </w:tc>
        <w:tc>
          <w:tcPr>
            <w:tcW w:w="2980" w:type="dxa"/>
            <w:tcBorders/>
            <w:vAlign w:val="center"/>
          </w:tcPr>
          <w:p>
            <w:pPr>
              <w:pStyle w:val="TableContents"/>
              <w:bidi w:val="0"/>
              <w:ind w:hanging="0" w:left="0" w:right="0"/>
              <w:jc w:val="left"/>
              <w:rPr/>
            </w:pPr>
            <w:r>
              <w:rPr/>
              <w:t>quinine</w:t>
            </w:r>
          </w:p>
        </w:tc>
        <w:tc>
          <w:tcPr>
            <w:tcW w:w="5103" w:type="dxa"/>
            <w:tcBorders/>
            <w:vAlign w:val="center"/>
          </w:tcPr>
          <w:p>
            <w:pPr>
              <w:pStyle w:val="TableContents"/>
              <w:bidi w:val="0"/>
              <w:ind w:hanging="0" w:left="0" w:right="0"/>
              <w:jc w:val="left"/>
              <w:rPr/>
            </w:pPr>
            <w:r>
              <w:rPr/>
              <w:t>severe malaria</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E31</w:t>
            </w:r>
          </w:p>
        </w:tc>
        <w:tc>
          <w:tcPr>
            <w:tcW w:w="2980" w:type="dxa"/>
            <w:tcBorders/>
            <w:vAlign w:val="center"/>
          </w:tcPr>
          <w:p>
            <w:pPr>
              <w:pStyle w:val="TableContents"/>
              <w:bidi w:val="0"/>
              <w:ind w:hanging="0" w:left="0" w:right="0"/>
              <w:jc w:val="left"/>
              <w:rPr/>
            </w:pPr>
            <w:r>
              <w:rPr/>
              <w:t>antivenom immunoglobulin</w:t>
            </w:r>
          </w:p>
        </w:tc>
        <w:tc>
          <w:tcPr>
            <w:tcW w:w="5103" w:type="dxa"/>
            <w:tcBorders/>
            <w:vAlign w:val="center"/>
          </w:tcPr>
          <w:p>
            <w:pPr>
              <w:pStyle w:val="TableContents"/>
              <w:bidi w:val="0"/>
              <w:ind w:hanging="0" w:left="0" w:right="0"/>
              <w:jc w:val="left"/>
              <w:rPr/>
            </w:pPr>
            <w:r>
              <w:rPr/>
              <w:t>envenoming</w:t>
            </w:r>
          </w:p>
        </w:tc>
        <w:tc>
          <w:tcPr>
            <w:tcW w:w="941" w:type="dxa"/>
            <w:tcBorders/>
            <w:vAlign w:val="center"/>
          </w:tcPr>
          <w:p>
            <w:pPr>
              <w:pStyle w:val="TableContents"/>
              <w:bidi w:val="0"/>
              <w:ind w:hanging="0" w:left="0" w:right="0"/>
              <w:jc w:val="left"/>
              <w:rPr/>
            </w:pPr>
            <w:r>
              <w:rPr/>
              <w:t>adult|peds IV</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E32</w:t>
            </w:r>
          </w:p>
        </w:tc>
        <w:tc>
          <w:tcPr>
            <w:tcW w:w="2980" w:type="dxa"/>
            <w:tcBorders/>
            <w:vAlign w:val="center"/>
          </w:tcPr>
          <w:p>
            <w:pPr>
              <w:pStyle w:val="TableContents"/>
              <w:bidi w:val="0"/>
              <w:ind w:hanging="0" w:left="0" w:right="0"/>
              <w:jc w:val="left"/>
              <w:rPr/>
            </w:pPr>
            <w:r>
              <w:rPr/>
              <w:t>oral rehydration salts</w:t>
            </w:r>
          </w:p>
        </w:tc>
        <w:tc>
          <w:tcPr>
            <w:tcW w:w="5103" w:type="dxa"/>
            <w:tcBorders/>
            <w:vAlign w:val="center"/>
          </w:tcPr>
          <w:p>
            <w:pPr>
              <w:pStyle w:val="TableContents"/>
              <w:bidi w:val="0"/>
              <w:ind w:hanging="0" w:left="0" w:right="0"/>
              <w:jc w:val="left"/>
              <w:rPr/>
            </w:pPr>
            <w:r>
              <w:rPr/>
              <w:t>cholera / acute watery diarrhoea — rehydration</w:t>
            </w:r>
          </w:p>
        </w:tc>
        <w:tc>
          <w:tcPr>
            <w:tcW w:w="941" w:type="dxa"/>
            <w:tcBorders/>
            <w:vAlign w:val="center"/>
          </w:tcPr>
          <w:p>
            <w:pPr>
              <w:pStyle w:val="TableContents"/>
              <w:bidi w:val="0"/>
              <w:ind w:hanging="0" w:left="0" w:right="0"/>
              <w:jc w:val="left"/>
              <w:rPr/>
            </w:pPr>
            <w:r>
              <w:rPr/>
              <w:t>adult|peds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E33</w:t>
            </w:r>
          </w:p>
        </w:tc>
        <w:tc>
          <w:tcPr>
            <w:tcW w:w="2980" w:type="dxa"/>
            <w:tcBorders/>
            <w:vAlign w:val="center"/>
          </w:tcPr>
          <w:p>
            <w:pPr>
              <w:pStyle w:val="TableContents"/>
              <w:bidi w:val="0"/>
              <w:ind w:hanging="0" w:left="0" w:right="0"/>
              <w:jc w:val="left"/>
              <w:rPr/>
            </w:pPr>
            <w:r>
              <w:rPr/>
              <w:t>zinc sulfate</w:t>
            </w:r>
          </w:p>
        </w:tc>
        <w:tc>
          <w:tcPr>
            <w:tcW w:w="5103" w:type="dxa"/>
            <w:tcBorders/>
            <w:vAlign w:val="center"/>
          </w:tcPr>
          <w:p>
            <w:pPr>
              <w:pStyle w:val="TableContents"/>
              <w:bidi w:val="0"/>
              <w:ind w:hanging="0" w:left="0" w:right="0"/>
              <w:jc w:val="left"/>
              <w:rPr/>
            </w:pPr>
            <w:r>
              <w:rPr/>
              <w:t>acute diarrhoea — adjunct to ORS</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E34</w:t>
            </w:r>
          </w:p>
        </w:tc>
        <w:tc>
          <w:tcPr>
            <w:tcW w:w="2980" w:type="dxa"/>
            <w:tcBorders/>
            <w:vAlign w:val="center"/>
          </w:tcPr>
          <w:p>
            <w:pPr>
              <w:pStyle w:val="TableContents"/>
              <w:bidi w:val="0"/>
              <w:ind w:hanging="0" w:left="0" w:right="0"/>
              <w:jc w:val="left"/>
              <w:rPr/>
            </w:pPr>
            <w:r>
              <w:rPr/>
              <w:t>isoniazid</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E35</w:t>
            </w:r>
          </w:p>
        </w:tc>
        <w:tc>
          <w:tcPr>
            <w:tcW w:w="2980" w:type="dxa"/>
            <w:tcBorders/>
            <w:vAlign w:val="center"/>
          </w:tcPr>
          <w:p>
            <w:pPr>
              <w:pStyle w:val="TableContents"/>
              <w:bidi w:val="0"/>
              <w:ind w:hanging="0" w:left="0" w:right="0"/>
              <w:jc w:val="left"/>
              <w:rPr/>
            </w:pPr>
            <w:r>
              <w:rPr/>
              <w:t>isoniazid</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E36</w:t>
            </w:r>
          </w:p>
        </w:tc>
        <w:tc>
          <w:tcPr>
            <w:tcW w:w="2980" w:type="dxa"/>
            <w:tcBorders/>
            <w:vAlign w:val="center"/>
          </w:tcPr>
          <w:p>
            <w:pPr>
              <w:pStyle w:val="TableContents"/>
              <w:bidi w:val="0"/>
              <w:ind w:hanging="0" w:left="0" w:right="0"/>
              <w:jc w:val="left"/>
              <w:rPr/>
            </w:pPr>
            <w:r>
              <w:rPr/>
              <w:t>rifampicin</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E37</w:t>
            </w:r>
          </w:p>
        </w:tc>
        <w:tc>
          <w:tcPr>
            <w:tcW w:w="2980" w:type="dxa"/>
            <w:tcBorders/>
            <w:vAlign w:val="center"/>
          </w:tcPr>
          <w:p>
            <w:pPr>
              <w:pStyle w:val="TableContents"/>
              <w:bidi w:val="0"/>
              <w:ind w:hanging="0" w:left="0" w:right="0"/>
              <w:jc w:val="left"/>
              <w:rPr/>
            </w:pPr>
            <w:r>
              <w:rPr/>
              <w:t>rifampicin</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E38</w:t>
            </w:r>
          </w:p>
        </w:tc>
        <w:tc>
          <w:tcPr>
            <w:tcW w:w="2980" w:type="dxa"/>
            <w:tcBorders/>
            <w:vAlign w:val="center"/>
          </w:tcPr>
          <w:p>
            <w:pPr>
              <w:pStyle w:val="TableContents"/>
              <w:bidi w:val="0"/>
              <w:ind w:hanging="0" w:left="0" w:right="0"/>
              <w:jc w:val="left"/>
              <w:rPr/>
            </w:pPr>
            <w:r>
              <w:rPr/>
              <w:t>pyrazinamide</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E39</w:t>
            </w:r>
          </w:p>
        </w:tc>
        <w:tc>
          <w:tcPr>
            <w:tcW w:w="2980" w:type="dxa"/>
            <w:tcBorders/>
            <w:vAlign w:val="center"/>
          </w:tcPr>
          <w:p>
            <w:pPr>
              <w:pStyle w:val="TableContents"/>
              <w:bidi w:val="0"/>
              <w:ind w:hanging="0" w:left="0" w:right="0"/>
              <w:jc w:val="left"/>
              <w:rPr/>
            </w:pPr>
            <w:r>
              <w:rPr/>
              <w:t>pyrazinamide</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E40</w:t>
            </w:r>
          </w:p>
        </w:tc>
        <w:tc>
          <w:tcPr>
            <w:tcW w:w="2980" w:type="dxa"/>
            <w:tcBorders/>
            <w:vAlign w:val="center"/>
          </w:tcPr>
          <w:p>
            <w:pPr>
              <w:pStyle w:val="TableContents"/>
              <w:bidi w:val="0"/>
              <w:ind w:hanging="0" w:left="0" w:right="0"/>
              <w:jc w:val="left"/>
              <w:rPr/>
            </w:pPr>
            <w:r>
              <w:rPr/>
              <w:t>ethambutol</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E41</w:t>
            </w:r>
          </w:p>
        </w:tc>
        <w:tc>
          <w:tcPr>
            <w:tcW w:w="2980" w:type="dxa"/>
            <w:tcBorders/>
            <w:vAlign w:val="center"/>
          </w:tcPr>
          <w:p>
            <w:pPr>
              <w:pStyle w:val="TableContents"/>
              <w:bidi w:val="0"/>
              <w:ind w:hanging="0" w:left="0" w:right="0"/>
              <w:jc w:val="left"/>
              <w:rPr/>
            </w:pPr>
            <w:r>
              <w:rPr/>
              <w:t>ethambutol</w:t>
            </w:r>
          </w:p>
        </w:tc>
        <w:tc>
          <w:tcPr>
            <w:tcW w:w="5103" w:type="dxa"/>
            <w:tcBorders/>
            <w:vAlign w:val="center"/>
          </w:tcPr>
          <w:p>
            <w:pPr>
              <w:pStyle w:val="TableContents"/>
              <w:bidi w:val="0"/>
              <w:ind w:hanging="0" w:left="0" w:right="0"/>
              <w:jc w:val="left"/>
              <w:rPr/>
            </w:pPr>
            <w:r>
              <w:rPr/>
              <w:t>drug-susceptible tuberculosis — first-line</w:t>
            </w:r>
          </w:p>
        </w:tc>
        <w:tc>
          <w:tcPr>
            <w:tcW w:w="941" w:type="dxa"/>
            <w:tcBorders/>
            <w:vAlign w:val="center"/>
          </w:tcPr>
          <w:p>
            <w:pPr>
              <w:pStyle w:val="TableContents"/>
              <w:bidi w:val="0"/>
              <w:ind w:hanging="0" w:left="0" w:right="0"/>
              <w:jc w:val="left"/>
              <w:rPr/>
            </w:pPr>
            <w:r>
              <w:rPr/>
              <w:t>peds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E42</w:t>
            </w:r>
          </w:p>
        </w:tc>
        <w:tc>
          <w:tcPr>
            <w:tcW w:w="2980" w:type="dxa"/>
            <w:tcBorders/>
            <w:vAlign w:val="center"/>
          </w:tcPr>
          <w:p>
            <w:pPr>
              <w:pStyle w:val="TableContents"/>
              <w:bidi w:val="0"/>
              <w:ind w:hanging="0" w:left="0" w:right="0"/>
              <w:jc w:val="left"/>
              <w:rPr/>
            </w:pPr>
            <w:r>
              <w:rPr/>
              <w:t>ethambutol + isoniazid + pyrazinamide + rifampicin</w:t>
            </w:r>
          </w:p>
        </w:tc>
        <w:tc>
          <w:tcPr>
            <w:tcW w:w="5103" w:type="dxa"/>
            <w:tcBorders/>
            <w:vAlign w:val="center"/>
          </w:tcPr>
          <w:p>
            <w:pPr>
              <w:pStyle w:val="TableContents"/>
              <w:bidi w:val="0"/>
              <w:ind w:hanging="0" w:left="0" w:right="0"/>
              <w:jc w:val="left"/>
              <w:rPr/>
            </w:pPr>
            <w:r>
              <w:rPr/>
              <w:t>drug-susceptible tuberculosis — intensive phase</w:t>
            </w:r>
          </w:p>
        </w:tc>
        <w:tc>
          <w:tcPr>
            <w:tcW w:w="941" w:type="dxa"/>
            <w:tcBorders/>
            <w:vAlign w:val="center"/>
          </w:tcPr>
          <w:p>
            <w:pPr>
              <w:pStyle w:val="TableContents"/>
              <w:bidi w:val="0"/>
              <w:ind w:hanging="0" w:left="0" w:right="0"/>
              <w:jc w:val="left"/>
              <w:rPr/>
            </w:pPr>
            <w:r>
              <w:rPr/>
              <w:t>adult PO</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U01</w:t>
            </w:r>
          </w:p>
        </w:tc>
        <w:tc>
          <w:tcPr>
            <w:tcW w:w="2980" w:type="dxa"/>
            <w:tcBorders/>
            <w:vAlign w:val="center"/>
          </w:tcPr>
          <w:p>
            <w:pPr>
              <w:pStyle w:val="TableContents"/>
              <w:bidi w:val="0"/>
              <w:ind w:hanging="0" w:left="0" w:right="0"/>
              <w:jc w:val="left"/>
              <w:rPr/>
            </w:pPr>
            <w:r>
              <w:rPr/>
              <w:t>cefazolin</w:t>
            </w:r>
          </w:p>
        </w:tc>
        <w:tc>
          <w:tcPr>
            <w:tcW w:w="5103" w:type="dxa"/>
            <w:tcBorders/>
            <w:vAlign w:val="center"/>
          </w:tcPr>
          <w:p>
            <w:pPr>
              <w:pStyle w:val="TableContents"/>
              <w:bidi w:val="0"/>
              <w:ind w:hanging="0" w:left="0" w:right="0"/>
              <w:jc w:val="left"/>
              <w:rPr/>
            </w:pPr>
            <w:r>
              <w:rPr/>
              <w:t>penetrating brain injury (post-injury antimicrobial prophylaxis)</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U02</w:t>
            </w:r>
          </w:p>
        </w:tc>
        <w:tc>
          <w:tcPr>
            <w:tcW w:w="2980" w:type="dxa"/>
            <w:tcBorders/>
            <w:vAlign w:val="center"/>
          </w:tcPr>
          <w:p>
            <w:pPr>
              <w:pStyle w:val="TableContents"/>
              <w:bidi w:val="0"/>
              <w:ind w:hanging="0" w:left="0" w:right="0"/>
              <w:jc w:val="left"/>
              <w:rPr/>
            </w:pPr>
            <w:r>
              <w:rPr/>
              <w:t>cefazolin</w:t>
            </w:r>
          </w:p>
        </w:tc>
        <w:tc>
          <w:tcPr>
            <w:tcW w:w="5103" w:type="dxa"/>
            <w:tcBorders/>
            <w:vAlign w:val="center"/>
          </w:tcPr>
          <w:p>
            <w:pPr>
              <w:pStyle w:val="TableContents"/>
              <w:bidi w:val="0"/>
              <w:ind w:hanging="0" w:left="0" w:right="0"/>
              <w:jc w:val="left"/>
              <w:rPr/>
            </w:pPr>
            <w:r>
              <w:rPr/>
              <w:t>penetrating spinal cord injury (post-injury antimicrobial prophylaxis)</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U03</w:t>
            </w:r>
          </w:p>
        </w:tc>
        <w:tc>
          <w:tcPr>
            <w:tcW w:w="2980" w:type="dxa"/>
            <w:tcBorders/>
            <w:vAlign w:val="center"/>
          </w:tcPr>
          <w:p>
            <w:pPr>
              <w:pStyle w:val="TableContents"/>
              <w:bidi w:val="0"/>
              <w:ind w:hanging="0" w:left="0" w:right="0"/>
              <w:jc w:val="left"/>
              <w:rPr/>
            </w:pPr>
            <w:r>
              <w:rPr/>
              <w:t>cefazolin</w:t>
            </w:r>
          </w:p>
        </w:tc>
        <w:tc>
          <w:tcPr>
            <w:tcW w:w="5103" w:type="dxa"/>
            <w:tcBorders/>
            <w:vAlign w:val="center"/>
          </w:tcPr>
          <w:p>
            <w:pPr>
              <w:pStyle w:val="TableContents"/>
              <w:bidi w:val="0"/>
              <w:ind w:hanging="0" w:left="0" w:right="0"/>
              <w:jc w:val="left"/>
              <w:rPr/>
            </w:pPr>
            <w:r>
              <w:rPr/>
              <w:t>penetrating chest injury (without esophageal disruption) and open maxillofacial fractures (post-injury prophylaxis)</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U04</w:t>
            </w:r>
          </w:p>
        </w:tc>
        <w:tc>
          <w:tcPr>
            <w:tcW w:w="2980" w:type="dxa"/>
            <w:tcBorders/>
            <w:vAlign w:val="center"/>
          </w:tcPr>
          <w:p>
            <w:pPr>
              <w:pStyle w:val="TableContents"/>
              <w:bidi w:val="0"/>
              <w:ind w:hanging="0" w:left="0" w:right="0"/>
              <w:jc w:val="left"/>
              <w:rPr/>
            </w:pPr>
            <w:r>
              <w:rPr/>
              <w:t>cefazolin</w:t>
            </w:r>
          </w:p>
        </w:tc>
        <w:tc>
          <w:tcPr>
            <w:tcW w:w="5103" w:type="dxa"/>
            <w:tcBorders/>
            <w:vAlign w:val="center"/>
          </w:tcPr>
          <w:p>
            <w:pPr>
              <w:pStyle w:val="TableContents"/>
              <w:bidi w:val="0"/>
              <w:ind w:hanging="0" w:left="0" w:right="0"/>
              <w:jc w:val="left"/>
              <w:rPr/>
            </w:pPr>
            <w:r>
              <w:rPr/>
              <w:t>single pre-surgical dose for open wounds, Role 1 and Role 2 without surgical support</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U05</w:t>
            </w:r>
          </w:p>
        </w:tc>
        <w:tc>
          <w:tcPr>
            <w:tcW w:w="2980" w:type="dxa"/>
            <w:tcBorders/>
            <w:vAlign w:val="center"/>
          </w:tcPr>
          <w:p>
            <w:pPr>
              <w:pStyle w:val="TableContents"/>
              <w:bidi w:val="0"/>
              <w:ind w:hanging="0" w:left="0" w:right="0"/>
              <w:jc w:val="left"/>
              <w:rPr/>
            </w:pPr>
            <w:r>
              <w:rPr/>
              <w:t>cefazolin</w:t>
            </w:r>
          </w:p>
        </w:tc>
        <w:tc>
          <w:tcPr>
            <w:tcW w:w="5103" w:type="dxa"/>
            <w:tcBorders/>
            <w:vAlign w:val="center"/>
          </w:tcPr>
          <w:p>
            <w:pPr>
              <w:pStyle w:val="TableContents"/>
              <w:bidi w:val="0"/>
              <w:ind w:hanging="0" w:left="0" w:right="0"/>
              <w:jc w:val="left"/>
              <w:rPr/>
            </w:pPr>
            <w:r>
              <w:rPr/>
              <w:t>ventriculostomy in place (prophylaxis; Role 3 neurosurgical)</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U06</w:t>
            </w:r>
          </w:p>
        </w:tc>
        <w:tc>
          <w:tcPr>
            <w:tcW w:w="2980" w:type="dxa"/>
            <w:tcBorders/>
            <w:vAlign w:val="center"/>
          </w:tcPr>
          <w:p>
            <w:pPr>
              <w:pStyle w:val="TableContents"/>
              <w:bidi w:val="0"/>
              <w:ind w:hanging="0" w:left="0" w:right="0"/>
              <w:jc w:val="left"/>
              <w:rPr/>
            </w:pPr>
            <w:r>
              <w:rPr/>
              <w:t>ceftriaxone</w:t>
            </w:r>
          </w:p>
        </w:tc>
        <w:tc>
          <w:tcPr>
            <w:tcW w:w="5103" w:type="dxa"/>
            <w:tcBorders/>
            <w:vAlign w:val="center"/>
          </w:tcPr>
          <w:p>
            <w:pPr>
              <w:pStyle w:val="TableContents"/>
              <w:bidi w:val="0"/>
              <w:ind w:hanging="0" w:left="0" w:right="0"/>
              <w:jc w:val="left"/>
              <w:rPr/>
            </w:pPr>
            <w:r>
              <w:rPr/>
              <w:t>open or penetrating TBI (CNS-penetrating antimicrobial prophylaxis)</w:t>
            </w:r>
          </w:p>
        </w:tc>
        <w:tc>
          <w:tcPr>
            <w:tcW w:w="941" w:type="dxa"/>
            <w:tcBorders/>
            <w:vAlign w:val="center"/>
          </w:tcPr>
          <w:p>
            <w:pPr>
              <w:pStyle w:val="TableContents"/>
              <w:bidi w:val="0"/>
              <w:ind w:hanging="0" w:left="0" w:right="0"/>
              <w:jc w:val="left"/>
              <w:rPr/>
            </w:pPr>
            <w:r>
              <w:rPr/>
              <w:t>adult IV/IO</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U07</w:t>
            </w:r>
          </w:p>
        </w:tc>
        <w:tc>
          <w:tcPr>
            <w:tcW w:w="2980" w:type="dxa"/>
            <w:tcBorders/>
            <w:vAlign w:val="center"/>
          </w:tcPr>
          <w:p>
            <w:pPr>
              <w:pStyle w:val="TableContents"/>
              <w:bidi w:val="0"/>
              <w:ind w:hanging="0" w:left="0" w:right="0"/>
              <w:jc w:val="left"/>
              <w:rPr/>
            </w:pPr>
            <w:r>
              <w:rPr/>
              <w:t>ceftriaxone</w:t>
            </w:r>
          </w:p>
        </w:tc>
        <w:tc>
          <w:tcPr>
            <w:tcW w:w="5103" w:type="dxa"/>
            <w:tcBorders/>
            <w:vAlign w:val="center"/>
          </w:tcPr>
          <w:p>
            <w:pPr>
              <w:pStyle w:val="TableContents"/>
              <w:bidi w:val="0"/>
              <w:ind w:hanging="0" w:left="0" w:right="0"/>
              <w:jc w:val="left"/>
              <w:rPr/>
            </w:pPr>
            <w:r>
              <w:rPr/>
              <w:t>penetrating TBI / CNS injury (post-injury prophylaxis)</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U08</w:t>
            </w:r>
          </w:p>
        </w:tc>
        <w:tc>
          <w:tcPr>
            <w:tcW w:w="2980" w:type="dxa"/>
            <w:tcBorders/>
            <w:vAlign w:val="center"/>
          </w:tcPr>
          <w:p>
            <w:pPr>
              <w:pStyle w:val="TableContents"/>
              <w:bidi w:val="0"/>
              <w:ind w:hanging="0" w:left="0" w:right="0"/>
              <w:jc w:val="left"/>
              <w:rPr/>
            </w:pPr>
            <w:r>
              <w:rPr/>
              <w:t>ceftriaxone</w:t>
            </w:r>
          </w:p>
        </w:tc>
        <w:tc>
          <w:tcPr>
            <w:tcW w:w="5103" w:type="dxa"/>
            <w:tcBorders/>
            <w:vAlign w:val="center"/>
          </w:tcPr>
          <w:p>
            <w:pPr>
              <w:pStyle w:val="TableContents"/>
              <w:bidi w:val="0"/>
              <w:ind w:hanging="0" w:left="0" w:right="0"/>
              <w:jc w:val="left"/>
              <w:rPr/>
            </w:pPr>
            <w:r>
              <w:rPr/>
              <w:t>severe COVID-19 with possible bacterial pneumonia co-infection</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U09</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procedural sedation (incl. cardioversion, transcutaneous pacing)</w:t>
            </w:r>
          </w:p>
        </w:tc>
        <w:tc>
          <w:tcPr>
            <w:tcW w:w="941" w:type="dxa"/>
            <w:tcBorders/>
            <w:vAlign w:val="center"/>
          </w:tcPr>
          <w:p>
            <w:pPr>
              <w:pStyle w:val="TableContents"/>
              <w:bidi w:val="0"/>
              <w:ind w:hanging="0" w:left="0" w:right="0"/>
              <w:jc w:val="left"/>
              <w:rPr/>
            </w:pPr>
            <w:r>
              <w:rPr/>
              <w:t>peds IV</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U10</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procedural / conscious sedation</w:t>
            </w:r>
          </w:p>
        </w:tc>
        <w:tc>
          <w:tcPr>
            <w:tcW w:w="941" w:type="dxa"/>
            <w:tcBorders/>
            <w:vAlign w:val="center"/>
          </w:tcPr>
          <w:p>
            <w:pPr>
              <w:pStyle w:val="TableContents"/>
              <w:bidi w:val="0"/>
              <w:ind w:hanging="0" w:left="0" w:right="0"/>
              <w:jc w:val="left"/>
              <w:rPr/>
            </w:pPr>
            <w:r>
              <w:rPr/>
              <w:t>peds IN</w:t>
            </w:r>
          </w:p>
        </w:tc>
        <w:tc>
          <w:tcPr>
            <w:tcW w:w="977" w:type="dxa"/>
            <w:tcBorders/>
            <w:vAlign w:val="center"/>
          </w:tcPr>
          <w:p>
            <w:pPr>
              <w:pStyle w:val="TableContents"/>
              <w:bidi w:val="0"/>
              <w:ind w:hanging="0" w:left="0" w:right="0"/>
              <w:jc w:val="left"/>
              <w:rPr>
                <w:sz w:val="4"/>
                <w:szCs w:val="4"/>
              </w:rPr>
            </w:pPr>
            <w:r>
              <w:rPr>
                <w:sz w:val="4"/>
                <w:szCs w:val="4"/>
              </w:rPr>
            </w:r>
          </w:p>
        </w:tc>
      </w:tr>
      <w:tr>
        <w:trPr/>
        <w:tc>
          <w:tcPr>
            <w:tcW w:w="511" w:type="dxa"/>
            <w:tcBorders/>
            <w:vAlign w:val="center"/>
          </w:tcPr>
          <w:p>
            <w:pPr>
              <w:pStyle w:val="TableContents"/>
              <w:bidi w:val="0"/>
              <w:ind w:hanging="0" w:left="0" w:right="0"/>
              <w:jc w:val="left"/>
              <w:rPr/>
            </w:pPr>
            <w:r>
              <w:rPr/>
              <w:t>U11</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post-intubation sedation bolus</w:t>
            </w:r>
          </w:p>
        </w:tc>
        <w:tc>
          <w:tcPr>
            <w:tcW w:w="941" w:type="dxa"/>
            <w:tcBorders/>
            <w:vAlign w:val="center"/>
          </w:tcPr>
          <w:p>
            <w:pPr>
              <w:pStyle w:val="TableContents"/>
              <w:bidi w:val="0"/>
              <w:ind w:hanging="0" w:left="0" w:right="0"/>
              <w:jc w:val="left"/>
              <w:rPr/>
            </w:pPr>
            <w:r>
              <w:rPr/>
              <w:t>adult IV</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U12</w:t>
            </w:r>
          </w:p>
        </w:tc>
        <w:tc>
          <w:tcPr>
            <w:tcW w:w="2980" w:type="dxa"/>
            <w:tcBorders/>
            <w:vAlign w:val="center"/>
          </w:tcPr>
          <w:p>
            <w:pPr>
              <w:pStyle w:val="TableContents"/>
              <w:bidi w:val="0"/>
              <w:ind w:hanging="0" w:left="0" w:right="0"/>
              <w:jc w:val="left"/>
              <w:rPr/>
            </w:pPr>
            <w:r>
              <w:rPr/>
              <w:t>midazolam</w:t>
            </w:r>
          </w:p>
        </w:tc>
        <w:tc>
          <w:tcPr>
            <w:tcW w:w="5103" w:type="dxa"/>
            <w:tcBorders/>
            <w:vAlign w:val="center"/>
          </w:tcPr>
          <w:p>
            <w:pPr>
              <w:pStyle w:val="TableContents"/>
              <w:bidi w:val="0"/>
              <w:ind w:hanging="0" w:left="0" w:right="0"/>
              <w:jc w:val="left"/>
              <w:rPr/>
            </w:pPr>
            <w:r>
              <w:rPr/>
              <w:t>sedation / anxiolysis</w:t>
            </w:r>
          </w:p>
        </w:tc>
        <w:tc>
          <w:tcPr>
            <w:tcW w:w="941" w:type="dxa"/>
            <w:tcBorders/>
            <w:vAlign w:val="center"/>
          </w:tcPr>
          <w:p>
            <w:pPr>
              <w:pStyle w:val="TableContents"/>
              <w:bidi w:val="0"/>
              <w:ind w:hanging="0" w:left="0" w:right="0"/>
              <w:jc w:val="left"/>
              <w:rPr/>
            </w:pPr>
            <w:r>
              <w:rPr/>
              <w:t>adult IM</w:t>
            </w:r>
          </w:p>
        </w:tc>
        <w:tc>
          <w:tcPr>
            <w:tcW w:w="977" w:type="dxa"/>
            <w:tcBorders/>
            <w:vAlign w:val="center"/>
          </w:tcPr>
          <w:p>
            <w:pPr>
              <w:pStyle w:val="TableContents"/>
              <w:bidi w:val="0"/>
              <w:ind w:hanging="0" w:left="0" w:right="0"/>
              <w:jc w:val="left"/>
              <w:rPr/>
            </w:pPr>
            <w:r>
              <w:rPr/>
              <w:t>· conflict</w:t>
            </w:r>
          </w:p>
        </w:tc>
      </w:tr>
      <w:tr>
        <w:trPr/>
        <w:tc>
          <w:tcPr>
            <w:tcW w:w="511" w:type="dxa"/>
            <w:tcBorders/>
            <w:vAlign w:val="center"/>
          </w:tcPr>
          <w:p>
            <w:pPr>
              <w:pStyle w:val="TableContents"/>
              <w:bidi w:val="0"/>
              <w:ind w:hanging="0" w:left="0" w:right="0"/>
              <w:jc w:val="left"/>
              <w:rPr/>
            </w:pPr>
            <w:r>
              <w:rPr/>
              <w:t>P1</w:t>
            </w:r>
          </w:p>
        </w:tc>
        <w:tc>
          <w:tcPr>
            <w:tcW w:w="2980" w:type="dxa"/>
            <w:tcBorders/>
            <w:vAlign w:val="center"/>
          </w:tcPr>
          <w:p>
            <w:pPr>
              <w:pStyle w:val="TableContents"/>
              <w:bidi w:val="0"/>
              <w:ind w:hanging="0" w:left="0" w:right="0"/>
              <w:jc w:val="left"/>
              <w:rPr/>
            </w:pPr>
            <w:r>
              <w:rPr/>
              <w:t>Procedure</w:t>
            </w:r>
          </w:p>
        </w:tc>
        <w:tc>
          <w:tcPr>
            <w:tcW w:w="5103" w:type="dxa"/>
            <w:tcBorders/>
            <w:vAlign w:val="center"/>
          </w:tcPr>
          <w:p>
            <w:pPr>
              <w:pStyle w:val="TableContents"/>
              <w:bidi w:val="0"/>
              <w:ind w:hanging="0" w:left="0" w:right="0"/>
              <w:jc w:val="left"/>
              <w:rPr/>
            </w:pPr>
            <w:r>
              <w:rPr/>
              <w:t>lumbar puncture: contraindicated with raised or suspected raised ICP</w:t>
            </w:r>
          </w:p>
        </w:tc>
        <w:tc>
          <w:tcPr>
            <w:tcW w:w="941" w:type="dxa"/>
            <w:tcBorders/>
            <w:vAlign w:val="center"/>
          </w:tcPr>
          <w:p>
            <w:pPr>
              <w:pStyle w:val="TableContents"/>
              <w:bidi w:val="0"/>
              <w:ind w:hanging="0" w:left="0" w:right="0"/>
              <w:jc w:val="left"/>
              <w:rPr/>
            </w:pPr>
            <w:r>
              <w:rPr/>
              <w:t xml:space="preserve">adult|peds </w:t>
            </w:r>
          </w:p>
        </w:tc>
        <w:tc>
          <w:tcPr>
            <w:tcW w:w="977" w:type="dxa"/>
            <w:tcBorders/>
            <w:vAlign w:val="center"/>
          </w:tcPr>
          <w:p>
            <w:pPr>
              <w:pStyle w:val="TableContents"/>
              <w:bidi w:val="0"/>
              <w:ind w:hanging="0" w:left="0" w:right="0"/>
              <w:jc w:val="left"/>
              <w:rPr/>
            </w:pPr>
            <w:r>
              <w:rPr/>
              <w:t>RETIRE</w:t>
            </w:r>
          </w:p>
        </w:tc>
      </w:tr>
      <w:tr>
        <w:trPr/>
        <w:tc>
          <w:tcPr>
            <w:tcW w:w="511" w:type="dxa"/>
            <w:tcBorders/>
            <w:vAlign w:val="center"/>
          </w:tcPr>
          <w:p>
            <w:pPr>
              <w:pStyle w:val="TableContents"/>
              <w:bidi w:val="0"/>
              <w:ind w:hanging="0" w:left="0" w:right="0"/>
              <w:jc w:val="left"/>
              <w:rPr/>
            </w:pPr>
            <w:r>
              <w:rPr/>
              <w:t>P2</w:t>
            </w:r>
          </w:p>
        </w:tc>
        <w:tc>
          <w:tcPr>
            <w:tcW w:w="2980" w:type="dxa"/>
            <w:tcBorders/>
            <w:vAlign w:val="center"/>
          </w:tcPr>
          <w:p>
            <w:pPr>
              <w:pStyle w:val="TableContents"/>
              <w:bidi w:val="0"/>
              <w:ind w:hanging="0" w:left="0" w:right="0"/>
              <w:jc w:val="left"/>
              <w:rPr/>
            </w:pPr>
            <w:r>
              <w:rPr/>
              <w:t>Procedure</w:t>
            </w:r>
          </w:p>
        </w:tc>
        <w:tc>
          <w:tcPr>
            <w:tcW w:w="5103" w:type="dxa"/>
            <w:tcBorders/>
            <w:vAlign w:val="center"/>
          </w:tcPr>
          <w:p>
            <w:pPr>
              <w:pStyle w:val="TableContents"/>
              <w:bidi w:val="0"/>
              <w:ind w:hanging="0" w:left="0" w:right="0"/>
              <w:jc w:val="left"/>
              <w:rPr/>
            </w:pPr>
            <w:r>
              <w:rPr/>
              <w:t>NG tube: contraindicated with a basilar skull fracture or its signs</w:t>
            </w:r>
          </w:p>
        </w:tc>
        <w:tc>
          <w:tcPr>
            <w:tcW w:w="941" w:type="dxa"/>
            <w:tcBorders/>
            <w:vAlign w:val="center"/>
          </w:tcPr>
          <w:p>
            <w:pPr>
              <w:pStyle w:val="TableContents"/>
              <w:bidi w:val="0"/>
              <w:ind w:hanging="0" w:left="0" w:right="0"/>
              <w:jc w:val="left"/>
              <w:rPr/>
            </w:pPr>
            <w:r>
              <w:rPr/>
              <w:t xml:space="preserve">adult|peds </w:t>
            </w:r>
          </w:p>
        </w:tc>
        <w:tc>
          <w:tcPr>
            <w:tcW w:w="977" w:type="dxa"/>
            <w:tcBorders/>
            <w:vAlign w:val="center"/>
          </w:tcPr>
          <w:p>
            <w:pPr>
              <w:pStyle w:val="TableContents"/>
              <w:widowControl w:val="false"/>
              <w:suppressLineNumbers/>
              <w:bidi w:val="0"/>
              <w:jc w:val="left"/>
              <w:rPr/>
            </w:pPr>
            <w:r>
              <w:rPr/>
              <w:t>RETIRE</w:t>
            </w:r>
          </w:p>
        </w:tc>
      </w:tr>
    </w:tbl>
    <w:p>
      <w:pPr>
        <w:pStyle w:val="BodyText"/>
        <w:bidi w:val="0"/>
        <w:ind w:hanging="0" w:left="0" w:right="0"/>
        <w:jc w:val="left"/>
        <w:rPr>
          <w:color w:val="555555"/>
          <w:sz w:val="16"/>
        </w:rPr>
      </w:pPr>
      <w:r>
        <w:br w:type="page"/>
      </w:r>
      <w:r>
        <w:rPr>
          <w:color w:val="555555"/>
          <w:sz w:val="16"/>
        </w:rPr>
        <w:t>EdgeCDSS signing batch 3: review packet · Unsigned contract entry · E01</w:t>
      </w:r>
    </w:p>
    <w:p>
      <w:pPr>
        <w:pStyle w:val="Heading2"/>
        <w:bidi w:val="0"/>
        <w:spacing w:before="40" w:after="80"/>
        <w:ind w:hanging="0" w:left="40" w:right="40"/>
        <w:jc w:val="left"/>
        <w:rPr>
          <w:sz w:val="28"/>
        </w:rPr>
      </w:pPr>
      <w:r>
        <w:rPr>
          <w:sz w:val="28"/>
        </w:rPr>
        <w:t>E01. ketamine: prolonged sedation infusion — SMOG (en route)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ketamine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prolonged sedation infusion — SMOG (en route)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0.5–2 mg/kg IV bolus, then 1–3 mg/kg/hr (SMOG p.127, as the bank entry carries it)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titrate by 0.25 mg/kg/hr</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ID61 p.9 (Appendix B): 3 mg/mL mix, start 1.5 mg/kg/h, table 0.5–2.0 mg/kg/h, steps of 0.25 mg/kg/h. JTS ID61 p.11 (Appendix D of the same CPG): 1 mg/kg/h non-intubated, 1–2 mg/kg/h intubated. SMOG CY24 p.127 (adult column, repeated on the RSI page p.12 and the chart p.128): 0.5–2 mg/kg bolus, then 1–3 mg/kg/hr, steps of 0.25, 1 mg/mL mix (500 mg/500 mL), chart header 17–50 mcg/kg/min. SMOG's ceiling (3 mg/kg/hr) is above every JTS ceiling (2.0 mg/kg/h). Its lower bound (1) is above the bottom of the JTS table (0.5). Its bolus (up to 2 mg/kg) is above the JTS 1 mg/kg load, and its mix (1 mg/mL) differs from the JTS 3 mg/mL. Also on a JTS page: ID30 p.24 (Role 3 neuro-ICU) gives a ketamine infusion of 20–100 mcg/kg/min (about 1.2–6 mg/kg/h). That is a different setting, but it is a third JTS figure.</w:t>
      </w:r>
    </w:p>
    <w:p>
      <w:pPr>
        <w:pStyle w:val="BodyText"/>
        <w:bidi w:val="0"/>
        <w:spacing w:before="60" w:after="60"/>
        <w:ind w:hanging="0" w:left="60" w:right="60"/>
        <w:jc w:val="left"/>
        <w:rPr>
          <w:sz w:val="15"/>
        </w:rPr>
      </w:pPr>
      <w:r>
        <w:rPr>
          <w:b/>
          <w:sz w:val="15"/>
        </w:rPr>
        <w:t>Note:</w:t>
      </w:r>
      <w:r>
        <w:rPr>
          <w:sz w:val="15"/>
        </w:rPr>
        <w:t xml:space="preserve"> This entry is the SMOG side of the dose, so its proposed dose is the SMOG figure the entry carries. The JTS figure is shown first on this page as the other side. The JTS ID61 adult infusion (load 1 mg/kg; start 1.5, range 0.5–2.0 mg/kg/h) was signed in batch 2 (2026-10-19). The 1.5 mg/kg/h start is the shaded row of the ID61 p.9 table, which the owner confirmed on 2026-10-19; the shading is not in the page text. OWNER RULING 2026-10-19 (Andrew Azelton): not signed. The adult sedation infusion is JTS ID61 p.9 (start 1.5, 0.5–2.0 mg/kg/h); SMOG p.127's 1–3 mg/kg/hr stays a documented alternate, not served. This item is the SMOG en-route entry. Under 'JTS first' the proposed dose is the JTS ID61 p.9 figure, and the SMOG figure is shown as the other side. The 1.5 mg/kg/h start is derived: the table says 'starting dose highlighted', but the highlighting is not in the page text. 'Weight ÷ 2 mL/h' at 3 mg/mL works out to 1.5 mg/kg/h, and this matches the 1.5 row. No maximum is stated; the JTS table simply stops at 2.0 mg/kg/h. SMOG p.128 chart: 'Dosing Range: 1-3mg/kg/hr (17-50mcg/kg/min)', 'MIX 500 mg/500 mL', 'CONCENTRATION 1 mg/mL'. The chart rows run from 15 to 60 mcg/kg/min, outside its own header, and some rows have arithmetic errors (e.g. 60 kg at 40 mcg/kg/min is printed as 140 mL/hr, but 144 is correct; 95 kg at 15 is printed as 90, but about 86 is correct). The ketamine infusions in ID29 p.8/p.24 (10 mg/h; 100 mcg/kg/h; 10–40 mg/h) are for analgesia, not sedation, and are not used here. COVID-19 CPG (ID85) p.18 refers to ID61 for the drip. ID61's tables start at 40 kg.</w:t>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9</w:t>
      </w:r>
      <w:r>
        <w:rPr>
          <w:sz w:val="16"/>
        </w:rPr>
        <w:t xml:space="preserve"> (PDF page 9) · states: load 1 mg/kg IV/IO; mix 3 mg/mL; initial rate weight÷2 mL/h (= 1.5 mg/kg/h at 3 mg/mL)</w:t>
      </w:r>
    </w:p>
    <w:p>
      <w:pPr>
        <w:pStyle w:val="BodyText"/>
        <w:bidi w:val="0"/>
        <w:spacing w:before="0" w:after="40"/>
        <w:ind w:hanging="0" w:left="240" w:right="0"/>
        <w:jc w:val="left"/>
        <w:rPr/>
      </w:pPr>
      <w:r>
        <w:rPr/>
        <w:t>“</w:t>
      </w:r>
      <w:r>
        <w:rPr>
          <w:rFonts w:ascii="DejaVu Serif;serif" w:hAnsi="DejaVu Serif;serif"/>
          <w:sz w:val="15"/>
        </w:rPr>
        <w:t>Ketamine drip (for sedation): Sedation loading dose first (1mg/kg IV/IO over 60 seconds). MIX: 750mg (1.5 vials of 500mg/5mL) in 250mL of normal saline (3mg/mL solution). Initial drip dose: • Best: Using an IV pump, set to μg/kg/min dose desired. Increase or decrease dose by 5–10μg/kg/min increments. • Better: Using a dial flow adaptor, initial drip rate in mL/h equals the casualty’s weight in kg divided by 2 (see mL/h table).”</w:t>
      </w:r>
    </w:p>
    <w:p>
      <w:pPr>
        <w:pStyle w:val="BodyText"/>
        <w:bidi w:val="0"/>
        <w:ind w:hanging="0" w:left="0" w:right="0"/>
        <w:jc w:val="left"/>
        <w:rPr/>
      </w:pPr>
      <w:r>
        <w:rPr/>
        <w:drawing>
          <wp:inline distT="0" distB="0" distL="0" distR="0">
            <wp:extent cx="6583680" cy="3473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9</w:t>
      </w:r>
      <w:r>
        <w:rPr>
          <w:sz w:val="16"/>
        </w:rPr>
        <w:t xml:space="preserve"> (PDF page 9) · states: table 0.5–2.0 mg/kg/h in 0.25 mg/kg/h rows; the 1.5 mg/kg/h row (80 kg = 40 mL/h) equals the weight÷2 start</w:t>
      </w:r>
    </w:p>
    <w:p>
      <w:pPr>
        <w:pStyle w:val="BodyText"/>
        <w:bidi w:val="0"/>
        <w:spacing w:before="0" w:after="40"/>
        <w:ind w:hanging="0" w:left="240" w:right="0"/>
        <w:jc w:val="left"/>
        <w:rPr/>
      </w:pPr>
      <w:r>
        <w:rPr/>
        <w:t>“</w:t>
      </w:r>
      <w:r>
        <w:rPr>
          <w:rFonts w:ascii="DejaVu Serif;serif" w:hAnsi="DejaVu Serif;serif"/>
          <w:sz w:val="15"/>
        </w:rPr>
        <w:t>Drip adjustments: Increase or decrease drip by 0.25mg/kg/h (1 row). Ketamine Drip Dosing Tables Ketamine drip rate for dial flow or IV pump (starting dose highlighted) Patient’s Weight, kg Dose 40 60 80 100 mg/kg/h μg/kg/min Infusion Rate, mL/h 0.5 8 7* 10 13 17 0.75 13 10 15 20 25 1.0 17 13 20 27 33 1.25 21 17 25 34 42 1.5 25 20 30 40 50 1.75 29 24 35 47 59 2.0 33 27 40 53 67”</w:t>
      </w:r>
    </w:p>
    <w:p>
      <w:pPr>
        <w:pStyle w:val="BodyText"/>
        <w:bidi w:val="0"/>
        <w:ind w:hanging="0" w:left="0" w:right="0"/>
        <w:jc w:val="left"/>
        <w:rPr/>
      </w:pPr>
      <w:r>
        <w:rPr/>
        <w:drawing>
          <wp:inline distT="0" distB="0" distL="0" distR="0">
            <wp:extent cx="6583680" cy="3473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11</w:t>
      </w:r>
      <w:r>
        <w:rPr>
          <w:sz w:val="16"/>
        </w:rPr>
        <w:t xml:space="preserve"> (PDF page 11) · states: Appendix D: drip 1 mg/kg/h non-intubated, 1–2 mg/kg/h intubated</w:t>
      </w:r>
    </w:p>
    <w:p>
      <w:pPr>
        <w:pStyle w:val="BodyText"/>
        <w:bidi w:val="0"/>
        <w:spacing w:before="0" w:after="40"/>
        <w:ind w:hanging="0" w:left="240" w:right="0"/>
        <w:jc w:val="left"/>
        <w:rPr/>
      </w:pPr>
      <w:r>
        <w:rPr/>
        <w:t>“</w:t>
      </w:r>
      <w:r>
        <w:rPr>
          <w:rFonts w:ascii="DejaVu Serif;serif" w:hAnsi="DejaVu Serif;serif"/>
          <w:sz w:val="15"/>
        </w:rPr>
        <w:t>Then IV/IO drip for ongoing sedation (load above dose, then drip): • Nonintubated: 1mg/kg/h • Intubated 1–2mg/kg/h”</w:t>
      </w:r>
    </w:p>
    <w:p>
      <w:pPr>
        <w:pStyle w:val="BodyText"/>
        <w:bidi w:val="0"/>
        <w:ind w:hanging="0" w:left="0" w:right="0"/>
        <w:jc w:val="left"/>
        <w:rPr/>
      </w:pPr>
      <w:r>
        <w:rPr/>
        <w:drawing>
          <wp:inline distT="0" distB="0" distL="0" distR="0">
            <wp:extent cx="6583680" cy="34734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87" t="-1680" r="-87" b="-168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adult: 0.5-2 mg/kg bolus, then 1-3 mg/kg/hr, titrate by 0.25 mg/kg/hr</w:t>
      </w:r>
    </w:p>
    <w:p>
      <w:pPr>
        <w:pStyle w:val="BodyText"/>
        <w:bidi w:val="0"/>
        <w:spacing w:before="0" w:after="40"/>
        <w:ind w:hanging="0" w:left="240" w:right="0"/>
        <w:jc w:val="left"/>
        <w:rPr/>
      </w:pPr>
      <w:r>
        <w:rPr/>
        <w:t>“</w:t>
      </w:r>
      <w:r>
        <w:rPr>
          <w:rFonts w:ascii="DejaVu Serif;serif" w:hAnsi="DejaVu Serif;serif"/>
          <w:sz w:val="15"/>
        </w:rPr>
        <w:t>IV Continuous Infusion • 0.5-2mg/kg bolus then 1-3 mg/kg/hr. Titrate”</w:t>
      </w:r>
    </w:p>
    <w:p>
      <w:pPr>
        <w:pStyle w:val="BodyText"/>
        <w:bidi w:val="0"/>
        <w:ind w:hanging="0" w:left="0" w:right="0"/>
        <w:jc w:val="left"/>
        <w:rPr/>
      </w:pPr>
      <w:r>
        <w:rPr/>
        <w:drawing>
          <wp:inline distT="0" distB="0" distL="0" distR="0">
            <wp:extent cx="6583680" cy="3473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E02</w:t>
      </w:r>
    </w:p>
    <w:p>
      <w:pPr>
        <w:pStyle w:val="Heading2"/>
        <w:bidi w:val="0"/>
        <w:spacing w:before="40" w:after="80"/>
        <w:ind w:hanging="0" w:left="40" w:right="40"/>
        <w:jc w:val="left"/>
        <w:rPr>
          <w:sz w:val="28"/>
        </w:rPr>
      </w:pPr>
      <w:r>
        <w:rPr>
          <w:sz w:val="28"/>
        </w:rPr>
        <w:t>E02. ketamine: prolonged sedation infusion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ketamine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prolonged sedation infusion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0.5-1 mg/kg/hr IV continuous infusion (SMOG paediatric column; no JTS paediatric figure)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titrate by 0.25 mg/kg/hr PRN to appropriate sedation</w:t>
            </w:r>
          </w:p>
        </w:tc>
      </w:tr>
    </w:tbl>
    <w:p>
      <w:pPr>
        <w:pStyle w:val="BodyText"/>
        <w:bidi w:val="0"/>
        <w:spacing w:before="60" w:after="60"/>
        <w:ind w:hanging="0" w:left="60" w:right="60"/>
        <w:jc w:val="left"/>
        <w:rPr>
          <w:sz w:val="15"/>
        </w:rPr>
      </w:pPr>
      <w:r>
        <w:rPr>
          <w:b/>
          <w:sz w:val="15"/>
        </w:rPr>
        <w:t>Note:</w:t>
      </w:r>
      <w:r>
        <w:rPr>
          <w:sz w:val="15"/>
        </w:rPr>
        <w:t xml:space="preserve"> OWNER RULING 2026-10-19 (Andrew Azelton): not signed; v1.1. SMOG gives a range only; no source gives a paediatric start rate or mix. Re-checked: no JTS page gives a paediatric ketamine infusion. ID61's tables start at 40 kg, and its 1.5 mg/kg/h start is above SMOG's paediatric ceiling of 1 mg/kg/hr. Burn Care ID12 p.19 says only 'Ketamine is a useful procedural adjunct' for children, with no number. SMOG states no paediatric bolus, starting rate, mix or maximum, so 'max' is blank. SMOG's paediatric line is quoted alone because in the layout text the column heading 'IV Continuous Infusion:' shares its line with the adult column. The same column carries '**NOTE** Avoid sub-dissociative doses to prevent emergence phenomenon.' NASEMSO gives no ketamine infusion. Age floor is 3 months (SMOG contraindication).</w:t>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9</w:t>
      </w:r>
      <w:r>
        <w:rPr>
          <w:sz w:val="16"/>
        </w:rPr>
        <w:t xml:space="preserve"> (PDF page 9) · states: no number for children: the adult PFC drip tables start at 40 kg; no paediatric rate</w:t>
      </w:r>
    </w:p>
    <w:p>
      <w:pPr>
        <w:pStyle w:val="BodyText"/>
        <w:bidi w:val="0"/>
        <w:spacing w:before="0" w:after="40"/>
        <w:ind w:hanging="0" w:left="240" w:right="0"/>
        <w:jc w:val="left"/>
        <w:rPr/>
      </w:pPr>
      <w:r>
        <w:rPr/>
        <w:t>“</w:t>
      </w:r>
      <w:r>
        <w:rPr>
          <w:rFonts w:ascii="DejaVu Serif;serif" w:hAnsi="DejaVu Serif;serif"/>
          <w:sz w:val="15"/>
        </w:rPr>
        <w:t>Patient’s Weight, kg Dose 40 60 80 100”</w:t>
      </w:r>
    </w:p>
    <w:p>
      <w:pPr>
        <w:pStyle w:val="BodyText"/>
        <w:bidi w:val="0"/>
        <w:ind w:hanging="0" w:left="0" w:right="0"/>
        <w:jc w:val="left"/>
        <w:rPr/>
      </w:pPr>
      <w:r>
        <w:rPr/>
        <w:drawing>
          <wp:inline distT="0" distB="0" distL="0" distR="0">
            <wp:extent cx="6583680" cy="6858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paediatric IV continuous infusion 0.5-1 mg/kg/hr, titrate by 0.25 mg/kg/hr</w:t>
      </w:r>
    </w:p>
    <w:p>
      <w:pPr>
        <w:pStyle w:val="BodyText"/>
        <w:bidi w:val="0"/>
        <w:spacing w:before="0" w:after="40"/>
        <w:ind w:hanging="0" w:left="240" w:right="0"/>
        <w:jc w:val="left"/>
        <w:rPr/>
      </w:pPr>
      <w:r>
        <w:rPr/>
        <w:t xml:space="preserve">“• </w:t>
      </w:r>
      <w:r>
        <w:rPr>
          <w:rFonts w:ascii="DejaVu Serif;serif" w:hAnsi="DejaVu Serif;serif"/>
          <w:sz w:val="15"/>
        </w:rPr>
        <w:t>0.5-1 mg/kg/hr. Titrate levels by 0.25mg/kg/hr”</w:t>
      </w:r>
    </w:p>
    <w:p>
      <w:pPr>
        <w:pStyle w:val="BodyText"/>
        <w:bidi w:val="0"/>
        <w:ind w:hanging="0" w:left="0" w:right="0"/>
        <w:jc w:val="left"/>
        <w:rPr/>
      </w:pPr>
      <w:r>
        <w:rPr/>
        <w:drawing>
          <wp:inline distT="0" distB="0" distL="0" distR="0">
            <wp:extent cx="6583680" cy="6858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column header: the 0.5-1 mg/kg/hr line is in the PEDIATRIC (right) column, under 'IV Continuous Infusion:'</w:t>
      </w:r>
    </w:p>
    <w:p>
      <w:pPr>
        <w:pStyle w:val="BodyText"/>
        <w:bidi w:val="0"/>
        <w:spacing w:before="0" w:after="40"/>
        <w:ind w:hanging="0" w:left="240" w:right="0"/>
        <w:jc w:val="left"/>
        <w:rPr/>
      </w:pPr>
      <w:r>
        <w:rPr/>
        <w:t>“</w:t>
      </w:r>
      <w:r>
        <w:rPr>
          <w:rFonts w:ascii="DejaVu Serif;serif" w:hAnsi="DejaVu Serif;serif"/>
          <w:sz w:val="15"/>
        </w:rPr>
        <w:t>Dose and Administration: ADULT PEDIATRIC Always Reference BROSELOW Tape”</w:t>
      </w:r>
    </w:p>
    <w:p>
      <w:pPr>
        <w:pStyle w:val="BodyText"/>
        <w:bidi w:val="0"/>
        <w:ind w:hanging="0" w:left="0" w:right="0"/>
        <w:jc w:val="left"/>
        <w:rPr/>
      </w:pPr>
      <w:r>
        <w:rPr/>
        <w:drawing>
          <wp:inline distT="0" distB="0" distL="0" distR="0">
            <wp:extent cx="6583680" cy="6858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no number: contraindicated under 3 months of age</w:t>
      </w:r>
    </w:p>
    <w:p>
      <w:pPr>
        <w:pStyle w:val="BodyText"/>
        <w:bidi w:val="0"/>
        <w:spacing w:before="0" w:after="40"/>
        <w:ind w:hanging="0" w:left="240" w:right="0"/>
        <w:jc w:val="left"/>
        <w:rPr/>
      </w:pPr>
      <w:r>
        <w:rPr/>
        <w:t xml:space="preserve">“• </w:t>
      </w:r>
      <w:r>
        <w:rPr>
          <w:rFonts w:ascii="DejaVu Serif;serif" w:hAnsi="DejaVu Serif;serif"/>
          <w:sz w:val="15"/>
        </w:rPr>
        <w:t>Children &lt;3 mo. age”</w:t>
      </w:r>
    </w:p>
    <w:p>
      <w:pPr>
        <w:pStyle w:val="BodyText"/>
        <w:bidi w:val="0"/>
        <w:ind w:hanging="0" w:left="0" w:right="0"/>
        <w:jc w:val="left"/>
        <w:rPr/>
      </w:pPr>
      <w:r>
        <w:rPr/>
        <w:drawing>
          <wp:inline distT="0" distB="0" distL="0" distR="0">
            <wp:extent cx="6583680" cy="6858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E03</w:t>
      </w:r>
    </w:p>
    <w:p>
      <w:pPr>
        <w:pStyle w:val="Heading2"/>
        <w:bidi w:val="0"/>
        <w:spacing w:before="40" w:after="80"/>
        <w:ind w:hanging="0" w:left="40" w:right="40"/>
        <w:jc w:val="left"/>
        <w:rPr>
          <w:sz w:val="28"/>
        </w:rPr>
      </w:pPr>
      <w:r>
        <w:rPr>
          <w:sz w:val="28"/>
        </w:rPr>
        <w:t>E03. ketamine: moderate to severe pain / analgesia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ketamine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moderate to severe pain / analgesia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IM</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Adult: 50-100 mg (or 0.5-1 mg/kg) IM (JTS ID91 PCC table). Paediatric: 0.5 mg/kg IM (SMOG p.127; no JTS paediatric IM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adult every 20-30 min (ID91); paediatric q 10-30 min prn (SMOG)</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Adult IM analgesia: different numbers on several JTS pages. ID91 p.33/34 (PCC 2021): 50-100 mg (0.5-1 mg/kg) IM or IN every 20-30 min. ID29 p.7 (TCCC): 50 mg IM or IN, every 30 min. ID61 p.11 (PFC 2017, Appendix D): 40–60 mg (0.5–0.75 mg/kg) IM/IN every 15 min until goal or nystagmus. ID61 p.8 (same CPG): if no IV/IO, 'quadruple the ketamine dose to give 80mg IM (range, 0.4–0.8mg/kg IM)'. SMOG p.127 adult: 0.5-1.0 mg/kg IM/IN, repeat q 10-30 prn. At 80 kg the JTS sources span 40–100 mg. NASEMSO p.94 (noted only) gives 0.25 mg/kg (20 mg at 80 kg, capped at 25 mg). Paediatric IM: SMOG 0.5 mg/kg is the only figure; no JTS page states a paediatric IM dose.</w:t>
      </w:r>
    </w:p>
    <w:p>
      <w:pPr>
        <w:pStyle w:val="BodyText"/>
        <w:bidi w:val="0"/>
        <w:spacing w:before="60" w:after="60"/>
        <w:ind w:hanging="0" w:left="60" w:right="60"/>
        <w:jc w:val="left"/>
        <w:rPr>
          <w:sz w:val="15"/>
        </w:rPr>
      </w:pPr>
      <w:r>
        <w:rPr>
          <w:b/>
          <w:sz w:val="15"/>
        </w:rPr>
        <w:t>Note:</w:t>
      </w:r>
      <w:r>
        <w:rPr>
          <w:sz w:val="15"/>
        </w:rPr>
        <w:t xml:space="preserve"> OWNER RULING 2026-10-14 (Andrew Azelton): left unsigned. The IM analgesia dose is the JTS/SMOG one (0.5–1.0 mg/kg adult, ID61/SMOG/TCCC; 0.5 mg/kg paediatric, SMOG); NASEMSO's 0.25 mg/kg IM stays a documented alternate, not served. The bank entry's drafted dose is NASEMSO's 0.25 mg/kg; under the owner's rules NASEMSO cannot be the proposal. The proposal uses ID91, the most recent JTS page with an IM range, and it matches the owner's 0.5–1.0 mg/kg adult ruling. The population is 'adult|peds', but the adult and paediatric figures come from different sources, so the owner may want to split the entry. No JTS or SMOG page states a maximum for IM analgesia, so 'max' is blank; NASEMSO's 25/100 mg caps are not used. Age floor is 3 months (SMOG contraindication). The ID91 quote keeps the interleaved side-effects column text exactly as it appears in the layout.</w:t>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33</w:t>
      </w:r>
      <w:r>
        <w:rPr>
          <w:sz w:val="16"/>
        </w:rPr>
        <w:t xml:space="preserve"> (PDF page 33) · states: adult moderate-severe pain: 50-100 mg (or 0.5-1 mg/kg) IM or IN every 20-30 min (table columns interleave in the layout text)</w:t>
      </w:r>
    </w:p>
    <w:p>
      <w:pPr>
        <w:pStyle w:val="BodyText"/>
        <w:bidi w:val="0"/>
        <w:spacing w:before="0" w:after="40"/>
        <w:ind w:hanging="0" w:left="240" w:right="0"/>
        <w:jc w:val="left"/>
        <w:rPr/>
      </w:pPr>
      <w:r>
        <w:rPr/>
        <w:t>“</w:t>
      </w:r>
      <w:r>
        <w:rPr>
          <w:rFonts w:ascii="DejaVu Serif;serif" w:hAnsi="DejaVu Serif;serif"/>
          <w:sz w:val="15"/>
        </w:rPr>
        <w:t>Ketamine 50-100 mg (or 0.5-1  Increased blood pressure and mg/kg) IM or IN every 20-30 heart rate. min”</w:t>
      </w:r>
    </w:p>
    <w:p>
      <w:pPr>
        <w:pStyle w:val="BodyText"/>
        <w:bidi w:val="0"/>
        <w:ind w:hanging="0" w:left="0" w:right="0"/>
        <w:jc w:val="left"/>
        <w:rPr/>
      </w:pPr>
      <w:r>
        <w:rPr/>
        <w:drawing>
          <wp:inline distT="0" distB="0" distL="0" distR="0">
            <wp:extent cx="6583680" cy="3746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ID29, Pain, Anxiety and Delirium (26 Apr 2021, v1.2): printed page </w:t>
      </w:r>
      <w:r>
        <w:rPr>
          <w:b/>
          <w:sz w:val="16"/>
        </w:rPr>
        <w:t>7</w:t>
      </w:r>
      <w:r>
        <w:rPr>
          <w:sz w:val="16"/>
        </w:rPr>
        <w:t xml:space="preserve"> (PDF page 7) · states: TCCC (adult casualty): 50 mg IM or IN, repeat every 30 minutes</w:t>
      </w:r>
    </w:p>
    <w:p>
      <w:pPr>
        <w:pStyle w:val="BodyText"/>
        <w:bidi w:val="0"/>
        <w:spacing w:before="0" w:after="40"/>
        <w:ind w:hanging="0" w:left="240" w:right="0"/>
        <w:jc w:val="left"/>
        <w:rPr/>
      </w:pPr>
      <w:r>
        <w:rPr/>
        <w:t>“</w:t>
      </w:r>
      <w:r>
        <w:rPr>
          <w:rFonts w:ascii="DejaVu Serif;serif" w:hAnsi="DejaVu Serif;serif"/>
          <w:sz w:val="15"/>
        </w:rPr>
        <w:t>Option 3, for moderate to severe pain when the casualty is in hemorrhagic shock or respiratory distress or the casualty is at significant risk of developing either condition, should include ketamine 50 mg IM or IN or ketamine 20 mg slow IV or IO. Ketamine doses can be repeated every 30 minutes for IM or IN and every 20 minutes for IV or IO administration.”</w:t>
      </w:r>
    </w:p>
    <w:p>
      <w:pPr>
        <w:pStyle w:val="BodyText"/>
        <w:bidi w:val="0"/>
        <w:ind w:hanging="0" w:left="0" w:right="0"/>
        <w:jc w:val="left"/>
        <w:rPr/>
      </w:pPr>
      <w:r>
        <w:rPr/>
        <w:drawing>
          <wp:inline distT="0" distB="0" distL="0" distR="0">
            <wp:extent cx="6583680" cy="3746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paediatric column analgesia IM 0.5 mg/kg, repeat q 10-30 prn</w:t>
      </w:r>
    </w:p>
    <w:p>
      <w:pPr>
        <w:pStyle w:val="BodyText"/>
        <w:bidi w:val="0"/>
        <w:spacing w:before="0" w:after="40"/>
        <w:ind w:hanging="0" w:left="240" w:right="0"/>
        <w:jc w:val="left"/>
        <w:rPr/>
      </w:pPr>
      <w:r>
        <w:rPr/>
        <w:t>“</w:t>
      </w:r>
      <w:r>
        <w:rPr>
          <w:rFonts w:ascii="DejaVu Serif;serif" w:hAnsi="DejaVu Serif;serif"/>
          <w:sz w:val="15"/>
        </w:rPr>
        <w:t>IM: • 0.5 mg/kg, repeat q 10-30 prn”</w:t>
      </w:r>
    </w:p>
    <w:p>
      <w:pPr>
        <w:pStyle w:val="BodyText"/>
        <w:bidi w:val="0"/>
        <w:ind w:hanging="0" w:left="0" w:right="0"/>
        <w:jc w:val="left"/>
        <w:rPr/>
      </w:pPr>
      <w:r>
        <w:rPr/>
        <w:drawing>
          <wp:inline distT="0" distB="0" distL="0" distR="0">
            <wp:extent cx="6583680" cy="3746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(Rev. March 2022): printed page </w:t>
      </w:r>
      <w:r>
        <w:rPr>
          <w:b/>
          <w:sz w:val="16"/>
        </w:rPr>
        <w:t>94</w:t>
      </w:r>
      <w:r>
        <w:rPr>
          <w:sz w:val="16"/>
        </w:rPr>
        <w:t xml:space="preserve"> (PDF page 94) · states: 0.25 mg/kg IM/IV/IO, max initial 25 mg, max cumulative 100 mg (noted only)</w:t>
      </w:r>
    </w:p>
    <w:p>
      <w:pPr>
        <w:pStyle w:val="BodyText"/>
        <w:bidi w:val="0"/>
        <w:spacing w:before="0" w:after="40"/>
        <w:ind w:hanging="0" w:left="240" w:right="0"/>
        <w:jc w:val="left"/>
        <w:rPr/>
      </w:pPr>
      <w:r>
        <w:rPr/>
        <w:t>“</w:t>
      </w:r>
      <w:r>
        <w:rPr>
          <w:rFonts w:ascii="DejaVu Serif;serif" w:hAnsi="DejaVu Serif;serif"/>
          <w:sz w:val="15"/>
        </w:rPr>
        <w:t>d. Ketamine: i. 0.25 mg/kg IM, IV or IO (maximum initial dose 25 mg; maximum cumulative dose 100 mg)”</w:t>
      </w:r>
    </w:p>
    <w:p>
      <w:pPr>
        <w:pStyle w:val="BodyText"/>
        <w:bidi w:val="0"/>
        <w:ind w:hanging="0" w:left="0" w:right="0"/>
        <w:jc w:val="left"/>
        <w:rPr/>
      </w:pPr>
      <w:r>
        <w:rPr/>
        <w:drawing>
          <wp:inline distT="0" distB="0" distL="0" distR="0">
            <wp:extent cx="6583680" cy="3746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E04</w:t>
      </w:r>
    </w:p>
    <w:p>
      <w:pPr>
        <w:pStyle w:val="Heading2"/>
        <w:bidi w:val="0"/>
        <w:spacing w:before="40" w:after="80"/>
        <w:ind w:hanging="0" w:left="40" w:right="40"/>
        <w:jc w:val="left"/>
        <w:rPr>
          <w:sz w:val="28"/>
        </w:rPr>
      </w:pPr>
      <w:r>
        <w:rPr>
          <w:sz w:val="28"/>
        </w:rPr>
        <w:t>E04. ketamine: moderate to severe pain / analgesia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ketamine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moderate to severe pain / analgesia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No owner ruling on file (bank adjudication null). The bank entry already flags it DOSE_NOT_IN_SOURCE and refuses even if signed. Re-checked the whole corpus: no JTS, SMOG or NASEMSO page states a paediatric intranasal ketamine analgesia dose. ID61 p.11's IM/IN 40–60 mg (0.5–0.75 mg/kg) is in an adult PFC CPG. SMOG p.32 (Altered Mental Status) gives 'Ketamine 4-5mg/kg IM/IN' for the combative patient, which is a sedation dose, not analgesia, and is not split by age. NASEMSO p.61 gives paediatric ketamine IV/IM for agitation only. The SMOG quote spans the paediatric column analgesia lines (IM, then IV); the adult column's 'IV/IO Push (over 1 min)' and '• 0.1-0.3 mg/kg' lines sit between them in the layout text.</w:t>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33</w:t>
      </w:r>
      <w:r>
        <w:rPr>
          <w:sz w:val="16"/>
        </w:rPr>
        <w:t xml:space="preserve"> (PDF page 33) · states: no number for children: IM/IN 50-100 mg (0.5-1 mg/kg) is an adult casualty dose</w:t>
      </w:r>
    </w:p>
    <w:p>
      <w:pPr>
        <w:pStyle w:val="BodyText"/>
        <w:bidi w:val="0"/>
        <w:spacing w:before="0" w:after="40"/>
        <w:ind w:hanging="0" w:left="240" w:right="0"/>
        <w:jc w:val="left"/>
        <w:rPr/>
      </w:pPr>
      <w:r>
        <w:rPr/>
        <w:t>“</w:t>
      </w:r>
      <w:r>
        <w:rPr>
          <w:rFonts w:ascii="DejaVu Serif;serif" w:hAnsi="DejaVu Serif;serif"/>
          <w:sz w:val="15"/>
        </w:rPr>
        <w:t>Ketamine 50-100 mg (or 0.5-1  Increased blood pressure and mg/kg) IM or IN every 20-30 heart rate. min”</w:t>
      </w:r>
    </w:p>
    <w:p>
      <w:pPr>
        <w:pStyle w:val="BodyText"/>
        <w:bidi w:val="0"/>
        <w:ind w:hanging="0" w:left="0" w:right="0"/>
        <w:jc w:val="left"/>
        <w:rPr/>
      </w:pPr>
      <w:r>
        <w:rPr/>
        <w:drawing>
          <wp:inline distT="0" distB="0" distL="0" distR="0">
            <wp:extent cx="6583680" cy="54864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ID29, Pain, Anxiety and Delirium (26 Apr 2021, v1.2): printed page </w:t>
      </w:r>
      <w:r>
        <w:rPr>
          <w:b/>
          <w:sz w:val="16"/>
        </w:rPr>
        <w:t>7</w:t>
      </w:r>
      <w:r>
        <w:rPr>
          <w:sz w:val="16"/>
        </w:rPr>
        <w:t xml:space="preserve"> (PDF page 7) · states: no number for children: TCCC 50 mg IN is an adult casualty fixed dose</w:t>
      </w:r>
    </w:p>
    <w:p>
      <w:pPr>
        <w:pStyle w:val="BodyText"/>
        <w:bidi w:val="0"/>
        <w:spacing w:before="0" w:after="40"/>
        <w:ind w:hanging="0" w:left="240" w:right="0"/>
        <w:jc w:val="left"/>
        <w:rPr/>
      </w:pPr>
      <w:r>
        <w:rPr/>
        <w:t>“</w:t>
      </w:r>
      <w:r>
        <w:rPr>
          <w:rFonts w:ascii="DejaVu Serif;serif" w:hAnsi="DejaVu Serif;serif"/>
          <w:sz w:val="15"/>
        </w:rPr>
        <w:t>Option 3, for moderate to severe pain when the casualty is in hemorrhagic shock or respiratory distress or the casualty is at significant risk of developing either condition, should include ketamine 50 mg IM or IN or ketamine 20 mg slow IV or IO. Ketamine doses can be repeated every 30 minutes for IM or IN and every 20 minutes for IV or IO administration.”</w:t>
      </w:r>
    </w:p>
    <w:p>
      <w:pPr>
        <w:pStyle w:val="BodyText"/>
        <w:bidi w:val="0"/>
        <w:ind w:hanging="0" w:left="0" w:right="0"/>
        <w:jc w:val="left"/>
        <w:rPr/>
      </w:pPr>
      <w:r>
        <w:rPr/>
        <w:drawing>
          <wp:inline distT="0" distB="0" distL="0" distR="0">
            <wp:extent cx="6583680" cy="54864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127</w:t>
      </w:r>
      <w:r>
        <w:rPr>
          <w:sz w:val="16"/>
        </w:rPr>
        <w:t xml:space="preserve"> (PDF page 127) · states: no number: the paediatric column gives analgesia IM and IV only, no IN</w:t>
      </w:r>
    </w:p>
    <w:p>
      <w:pPr>
        <w:pStyle w:val="BodyText"/>
        <w:bidi w:val="0"/>
        <w:spacing w:before="0" w:after="40"/>
        <w:ind w:hanging="0" w:left="240" w:right="0"/>
        <w:jc w:val="left"/>
        <w:rPr/>
      </w:pPr>
      <w:r>
        <w:rPr/>
        <w:t>“</w:t>
      </w:r>
      <w:r>
        <w:rPr>
          <w:rFonts w:ascii="DejaVu Serif;serif" w:hAnsi="DejaVu Serif;serif"/>
          <w:sz w:val="15"/>
        </w:rPr>
        <w:t>IM: • 0.5 mg/kg, repeat q 10-30 prn IV/IO Push (over 1 min) IV: • 0.1-0.3 mg/kg, repeat q 10-30 prn • 0.1 – 0.2 mg/kg, repeat q 10-30 prn”</w:t>
      </w:r>
    </w:p>
    <w:p>
      <w:pPr>
        <w:pStyle w:val="BodyText"/>
        <w:bidi w:val="0"/>
        <w:ind w:hanging="0" w:left="0" w:right="0"/>
        <w:jc w:val="left"/>
        <w:rPr/>
      </w:pPr>
      <w:r>
        <w:rPr/>
        <w:drawing>
          <wp:inline distT="0" distB="0" distL="0" distR="0">
            <wp:extent cx="6583680" cy="54864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(Rev. March 2022): printed page </w:t>
      </w:r>
      <w:r>
        <w:rPr>
          <w:b/>
          <w:sz w:val="16"/>
        </w:rPr>
        <w:t>94</w:t>
      </w:r>
      <w:r>
        <w:rPr>
          <w:sz w:val="16"/>
        </w:rPr>
        <w:t xml:space="preserve"> (PDF page 94) · states: no number: IM, IV or IO only, no IN (noted only)</w:t>
      </w:r>
    </w:p>
    <w:p>
      <w:pPr>
        <w:pStyle w:val="BodyText"/>
        <w:bidi w:val="0"/>
        <w:spacing w:before="0" w:after="40"/>
        <w:ind w:hanging="0" w:left="240" w:right="0"/>
        <w:jc w:val="left"/>
        <w:rPr/>
      </w:pPr>
      <w:r>
        <w:rPr/>
        <w:t>“</w:t>
      </w:r>
      <w:r>
        <w:rPr>
          <w:rFonts w:ascii="DejaVu Serif;serif" w:hAnsi="DejaVu Serif;serif"/>
          <w:sz w:val="15"/>
        </w:rPr>
        <w:t>d. Ketamine: i. 0.25 mg/kg IM, IV or IO (maximum initial dose 25 mg; maximum cumulative dose 100 mg)”</w:t>
      </w:r>
    </w:p>
    <w:p>
      <w:pPr>
        <w:pStyle w:val="BodyText"/>
        <w:bidi w:val="0"/>
        <w:ind w:hanging="0" w:left="0" w:right="0"/>
        <w:jc w:val="left"/>
        <w:rPr/>
      </w:pPr>
      <w:r>
        <w:rPr/>
        <w:drawing>
          <wp:inline distT="0" distB="0" distL="0" distR="0">
            <wp:extent cx="6583680" cy="54864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E05</w:t>
      </w:r>
    </w:p>
    <w:p>
      <w:pPr>
        <w:pStyle w:val="Heading2"/>
        <w:bidi w:val="0"/>
        <w:spacing w:before="40" w:after="80"/>
        <w:ind w:hanging="0" w:left="40" w:right="40"/>
        <w:jc w:val="left"/>
        <w:rPr>
          <w:sz w:val="28"/>
        </w:rPr>
      </w:pPr>
      <w:r>
        <w:rPr>
          <w:sz w:val="28"/>
        </w:rPr>
        <w:t>E05. epinephrine: push-dose vasopressor for hypotension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epinephrine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push-dose vasopressor for hypotension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5–20 mcg (0.5–2 mL of 10 mcg/mL: 1 mL of 100 mcg/mL in 9 mL NS) very slow IV/IO push</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2–5 minutes</w:t>
            </w:r>
          </w:p>
        </w:tc>
      </w:tr>
    </w:tbl>
    <w:p>
      <w:pPr>
        <w:pStyle w:val="BodyText"/>
        <w:bidi w:val="0"/>
        <w:spacing w:before="60" w:after="60"/>
        <w:ind w:hanging="0" w:left="60" w:right="60"/>
        <w:jc w:val="left"/>
        <w:rPr>
          <w:sz w:val="15"/>
        </w:rPr>
      </w:pPr>
      <w:r>
        <w:rPr>
          <w:b/>
          <w:sz w:val="15"/>
        </w:rPr>
        <w:t>Note:</w:t>
      </w:r>
      <w:r>
        <w:rPr>
          <w:sz w:val="15"/>
        </w:rPr>
        <w:t xml:space="preserve"> No owner ruling on file (bank adjudication null). The old bank note ('NASEMSO 403; WHO no regimen') is superseded: JTS ID83 p.24 states the dose. For hypotension, JTS ID83 and SMOG p.12 agree on 5–20 mcg every 2–5 min, so there is no conflict. SMOG p.114's push dose (0.05–0.1 mg = 50–100 mcg) is for refractory anaphylaxis, a different indication; it is shown so it is not confused with this one. ID83 also says 'Administer a lower-end dose (0.5 – 1mL) while preparing a longer-term IVF drip', and 'Administration: very slow IV push. 1 cc/min for 10 minutes' (sic). No JTS or SMOG page states a maximum single or cumulative dose, so 'max' is blank. ID83 is the Sepsis PFC CPG (shock with SBP &lt;90); SMOG p.12 is the RSI guideline. ID85 (COVID-19) p.22 says to have push-dose vasopressor available, with no number. NASEMSO p.109 (shock) gives a paediatric-style 0.01 mg/kg push, max 10 mcg, q 3–5 min. ID83's bullets are private-use glyphs in the text layer and are kept verbatim.</w:t>
      </w:r>
    </w:p>
    <w:p>
      <w:pPr>
        <w:pStyle w:val="BodyText"/>
        <w:bidi w:val="0"/>
        <w:spacing w:before="80" w:after="20"/>
        <w:ind w:hanging="0" w:left="80" w:right="80"/>
        <w:jc w:val="left"/>
        <w:rPr>
          <w:sz w:val="16"/>
        </w:rPr>
      </w:pPr>
      <w:r>
        <w:rPr>
          <w:b/>
          <w:sz w:val="16"/>
        </w:rPr>
        <w:t>JTS</w:t>
      </w:r>
      <w:r>
        <w:rPr>
          <w:sz w:val="16"/>
        </w:rPr>
        <w:t xml:space="preserve"> · JTS CPG ID83, Sepsis Management in PFC (28 Oct 2020): printed page </w:t>
      </w:r>
      <w:r>
        <w:rPr>
          <w:b/>
          <w:sz w:val="16"/>
        </w:rPr>
        <w:t>24</w:t>
      </w:r>
      <w:r>
        <w:rPr>
          <w:sz w:val="16"/>
        </w:rPr>
        <w:t xml:space="preserve"> (PDF page 24) · states: 10 mcg/mL; 0.5–2 mL (5–20 mcg) every 2–5 min, for SBP &lt;90; start low-end 0.5–1 mL</w:t>
      </w:r>
    </w:p>
    <w:p>
      <w:pPr>
        <w:pStyle w:val="BodyText"/>
        <w:bidi w:val="0"/>
        <w:spacing w:before="0" w:after="40"/>
        <w:ind w:hanging="0" w:left="240" w:right="0"/>
        <w:jc w:val="left"/>
        <w:rPr/>
      </w:pPr>
      <w:r>
        <w:rPr/>
        <w:t>“</w:t>
      </w:r>
      <w:r>
        <w:rPr>
          <w:rFonts w:ascii="DejaVu Serif;serif" w:hAnsi="DejaVu Serif;serif"/>
          <w:sz w:val="15"/>
        </w:rPr>
        <w:t>Epinephrine, as an IV or IO push-dose: A 10mL syringe consisting of 9mL of Normal Saline (0.9% NaCl) with 1mL of cardiac epinephrine (1:10,000 or 100mcg/mL). Administer to acutely correct a blood pressure indicative of shock (systolic &lt;90). Administer a lower-end dose (0.5 – 1mL) while preparing a longer-term IVF drip (below).  Concentration: 10mcg epinephrine/mL  Onset: 1 minute  Duration: 5 – 10 minutes  Dose: 0.5 – 2mL every 2 – 5 minutes (5 – 20mcg)”</w:t>
      </w:r>
    </w:p>
    <w:p>
      <w:pPr>
        <w:pStyle w:val="BodyText"/>
        <w:bidi w:val="0"/>
        <w:ind w:hanging="0" w:left="0" w:right="0"/>
        <w:jc w:val="left"/>
        <w:rPr/>
      </w:pPr>
      <w:r>
        <w:rPr/>
        <w:drawing>
          <wp:inline distT="0" distB="0" distL="0" distR="0">
            <wp:extent cx="6583680" cy="44831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w:t>
      </w:r>
      <w:r>
        <w:rPr>
          <w:sz w:val="16"/>
        </w:rPr>
        <w:t xml:space="preserve"> (PDF page 12) · states: RSI page: push-dose epinephrine 5-20 mcg IV q2-5min</w:t>
      </w:r>
    </w:p>
    <w:p>
      <w:pPr>
        <w:pStyle w:val="BodyText"/>
        <w:bidi w:val="0"/>
        <w:spacing w:before="0" w:after="40"/>
        <w:ind w:hanging="0" w:left="240" w:right="0"/>
        <w:jc w:val="left"/>
        <w:rPr/>
      </w:pPr>
      <w:r>
        <w:rPr/>
        <w:t>“</w:t>
      </w:r>
      <w:r>
        <w:rPr>
          <w:rFonts w:ascii="DejaVu Serif;serif" w:hAnsi="DejaVu Serif;serif"/>
          <w:sz w:val="15"/>
        </w:rPr>
        <w:t>Push Dose Epi: o Epinephrine 5-20mcg IV q2-5min”</w:t>
      </w:r>
    </w:p>
    <w:p>
      <w:pPr>
        <w:pStyle w:val="BodyText"/>
        <w:bidi w:val="0"/>
        <w:ind w:hanging="0" w:left="0" w:right="0"/>
        <w:jc w:val="left"/>
        <w:rPr/>
      </w:pPr>
      <w:r>
        <w:rPr/>
        <w:drawing>
          <wp:inline distT="0" distB="0" distL="0" distR="0">
            <wp:extent cx="6583680" cy="44831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114</w:t>
      </w:r>
      <w:r>
        <w:rPr>
          <w:sz w:val="16"/>
        </w:rPr>
        <w:t xml:space="preserve"> (PDF page 114) · states: different indication (refractory anaphylaxis): 0.05-0.1 mg push, may repeat once after 3 min</w:t>
      </w:r>
    </w:p>
    <w:p>
      <w:pPr>
        <w:pStyle w:val="BodyText"/>
        <w:bidi w:val="0"/>
        <w:spacing w:before="0" w:after="40"/>
        <w:ind w:hanging="0" w:left="240" w:right="0"/>
        <w:jc w:val="left"/>
        <w:rPr/>
      </w:pPr>
      <w:r>
        <w:rPr/>
        <w:t>“</w:t>
      </w:r>
      <w:r>
        <w:rPr>
          <w:rFonts w:ascii="DejaVu Serif;serif" w:hAnsi="DejaVu Serif;serif"/>
          <w:sz w:val="15"/>
        </w:rPr>
        <w:t>Push-Dose: Refractory Anaphylaxis: IV/IO: Utilize the 0.1 mg/mL solution further diluted in 10mL of NS. • 0.05-0.1 mg, administered over 1-10 minutes, may repeat once after 3 minutes if patient”</w:t>
      </w:r>
    </w:p>
    <w:p>
      <w:pPr>
        <w:pStyle w:val="BodyText"/>
        <w:bidi w:val="0"/>
        <w:ind w:hanging="0" w:left="0" w:right="0"/>
        <w:jc w:val="left"/>
        <w:rPr/>
      </w:pPr>
      <w:r>
        <w:rPr/>
        <w:drawing>
          <wp:inline distT="0" distB="0" distL="0" distR="0">
            <wp:extent cx="6583680" cy="44831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(Rev. March 2022): printed page </w:t>
      </w:r>
      <w:r>
        <w:rPr>
          <w:b/>
          <w:sz w:val="16"/>
        </w:rPr>
        <w:t>36</w:t>
      </w:r>
      <w:r>
        <w:rPr>
          <w:sz w:val="16"/>
        </w:rPr>
        <w:t xml:space="preserve"> (PDF page 36) · states: adult bradycardia: 10-20 mcg boluses q 2 min (noted only)</w:t>
      </w:r>
    </w:p>
    <w:p>
      <w:pPr>
        <w:pStyle w:val="BodyText"/>
        <w:bidi w:val="0"/>
        <w:spacing w:before="0" w:after="40"/>
        <w:ind w:hanging="0" w:left="240" w:right="0"/>
        <w:jc w:val="left"/>
        <w:rPr/>
      </w:pPr>
      <w:r>
        <w:rPr/>
        <w:t>“</w:t>
      </w:r>
      <w:r>
        <w:rPr>
          <w:rFonts w:ascii="DejaVu Serif;serif" w:hAnsi="DejaVu Serif;serif"/>
          <w:sz w:val="15"/>
        </w:rPr>
        <w:t>2. Epinephrine by push dose (dilute boluses): for example, prepare 10 mcg/mL by adding 1 mL of 0.1 mg/mL epinephrine to 9 mL of normal saline, then administer 10–20 mcg boluses (1–2 mL) q 2 minutes titrated MAP greater than 65 mmHg”</w:t>
      </w:r>
    </w:p>
    <w:p>
      <w:pPr>
        <w:pStyle w:val="BodyText"/>
        <w:bidi w:val="0"/>
        <w:ind w:hanging="0" w:left="0" w:right="0"/>
        <w:jc w:val="left"/>
        <w:rPr/>
      </w:pPr>
      <w:r>
        <w:rPr/>
        <w:drawing>
          <wp:inline distT="0" distB="0" distL="0" distR="0">
            <wp:extent cx="6583680" cy="44831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E06</w:t>
      </w:r>
    </w:p>
    <w:p>
      <w:pPr>
        <w:pStyle w:val="Heading2"/>
        <w:bidi w:val="0"/>
        <w:spacing w:before="40" w:after="80"/>
        <w:ind w:hanging="0" w:left="40" w:right="40"/>
        <w:jc w:val="left"/>
        <w:rPr>
          <w:sz w:val="28"/>
        </w:rPr>
      </w:pPr>
      <w:r>
        <w:rPr>
          <w:sz w:val="28"/>
        </w:rPr>
        <w:t>E06. epinephrine: infusion for refractory shock</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epinephrine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infusion for refractory shock</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Start 4 mcg/min IV/IO (JTS ID83 / ID91 drip table, after 30 mL/kg IVF); adjust up, down or stop per perfusion and vitals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(ID83 p.24; ID91 p.40, Table 15) states only a 4 mcg/min starting/maintenance rate, with no range or ceiling. SMOG gives ranges that disagree with each other: the drug card p.114 says 2-10 mcg/min for hypotension/shock, while the chart p.115 ('Dosing Range: 2-20mcg/min', 2 mcg/mL mix) and the sepsis guideline p.38 say 2-20 mcg/min. JTS's 4 mcg/min lies inside both SMOG ranges. The disagreement is in the ceiling: SMOG says 10 on one page and 20 on others, and JTS states none.</w:t>
      </w:r>
    </w:p>
    <w:p>
      <w:pPr>
        <w:pStyle w:val="BodyText"/>
        <w:bidi w:val="0"/>
        <w:spacing w:before="60" w:after="60"/>
        <w:ind w:hanging="0" w:left="60" w:right="60"/>
        <w:jc w:val="left"/>
        <w:rPr>
          <w:sz w:val="15"/>
        </w:rPr>
      </w:pPr>
      <w:r>
        <w:rPr>
          <w:b/>
          <w:sz w:val="15"/>
        </w:rPr>
        <w:t>Note:</w:t>
      </w:r>
      <w:r>
        <w:rPr>
          <w:sz w:val="15"/>
        </w:rPr>
        <w:t xml:space="preserve"> No owner ruling on file (bank adjudication null). The old bank note ('NASEMSO 403; WHO no regimen') is superseded. JTS ID83 (Sepsis PFC) says to start low-dose vasopressor after 30 mL/kg IVF with no change in MAP, urine output or mentation. ID91 p.40 lists epinephrine as the second-line infusion after norepinephrine and prints the same 4 mcg/min table. Neither JTS page states a titration step or a maximum, so 'max' and 'repeat' are blank. Both JTS pages call for telemedicine guidance. Other numbers seen, not for this indication: SMOG p.31 anaphylaxis 5-15 mcg/min (chart p.113); SMOG p.41 bradycardia 2-10 mcg/min; SMOG p.29 paediatric 1 mcg/kg/min. ID12 p.33 'Refractory shock: consider epinephrine or phenylephrine infusion' gives no number. ID85 (COVID-19) Appendix D ('IV Medication Drips, courtesy SMOG CY20') is an image with no text layer. NASEMSO p.36 gives 0.02–0.2 mcg/kg/min for bradycardia.</w:t>
      </w:r>
    </w:p>
    <w:p>
      <w:pPr>
        <w:pStyle w:val="BodyText"/>
        <w:bidi w:val="0"/>
        <w:spacing w:before="80" w:after="20"/>
        <w:ind w:hanging="0" w:left="80" w:right="80"/>
        <w:jc w:val="left"/>
        <w:rPr>
          <w:sz w:val="16"/>
        </w:rPr>
      </w:pPr>
      <w:r>
        <w:rPr>
          <w:b/>
          <w:sz w:val="16"/>
        </w:rPr>
        <w:t>JTS</w:t>
      </w:r>
      <w:r>
        <w:rPr>
          <w:sz w:val="16"/>
        </w:rPr>
        <w:t xml:space="preserve"> · JTS CPG ID83, Sepsis Management in PFC (28 Oct 2020): printed page </w:t>
      </w:r>
      <w:r>
        <w:rPr>
          <w:b/>
          <w:sz w:val="16"/>
        </w:rPr>
        <w:t>24</w:t>
      </w:r>
      <w:r>
        <w:rPr>
          <w:sz w:val="16"/>
        </w:rPr>
        <w:t xml:space="preserve"> (PDF page 24) · states: starting/maintenance point 4 mcg/min; table: every bag mix runs at 4 mcg/min</w:t>
      </w:r>
    </w:p>
    <w:p>
      <w:pPr>
        <w:pStyle w:val="BodyText"/>
        <w:bidi w:val="0"/>
        <w:spacing w:before="0" w:after="40"/>
        <w:ind w:hanging="0" w:left="240" w:right="0"/>
        <w:jc w:val="left"/>
        <w:rPr/>
      </w:pPr>
      <w:r>
        <w:rPr/>
        <w:t>“</w:t>
      </w:r>
      <w:r>
        <w:rPr>
          <w:rFonts w:ascii="DejaVu Serif;serif" w:hAnsi="DejaVu Serif;serif"/>
          <w:sz w:val="15"/>
        </w:rPr>
        <w:t>Epinephrine as a vasopressor drip: Epinephrine; 4mcg/min bag reference chart. This dose is a starting/maintenance point in the application of an epinephrine (vasopressor) IV drip bag – Epinephrine Challenge.”</w:t>
      </w:r>
    </w:p>
    <w:p>
      <w:pPr>
        <w:pStyle w:val="BodyText"/>
        <w:bidi w:val="0"/>
        <w:ind w:hanging="0" w:left="0" w:right="0"/>
        <w:jc w:val="left"/>
        <w:rPr/>
      </w:pPr>
      <w:r>
        <w:rPr/>
        <w:drawing>
          <wp:inline distT="0" distB="0" distL="0" distR="0">
            <wp:extent cx="6583680" cy="44831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114</w:t>
      </w:r>
      <w:r>
        <w:rPr>
          <w:sz w:val="16"/>
        </w:rPr>
        <w:t xml:space="preserve"> (PDF page 114) · states: adult drug card: hypotension/shock 2-10 mcg/min titrated to clinical end point</w:t>
      </w:r>
    </w:p>
    <w:p>
      <w:pPr>
        <w:pStyle w:val="BodyText"/>
        <w:bidi w:val="0"/>
        <w:spacing w:before="0" w:after="40"/>
        <w:ind w:hanging="0" w:left="240" w:right="0"/>
        <w:jc w:val="left"/>
        <w:rPr/>
      </w:pPr>
      <w:r>
        <w:rPr/>
        <w:t xml:space="preserve">“• </w:t>
      </w:r>
      <w:r>
        <w:rPr>
          <w:rFonts w:ascii="DejaVu Serif;serif" w:hAnsi="DejaVu Serif;serif"/>
          <w:sz w:val="15"/>
        </w:rPr>
        <w:t>Hypotension/Shock: 2-10 mcg/min titrated to”</w:t>
      </w:r>
    </w:p>
    <w:p>
      <w:pPr>
        <w:pStyle w:val="BodyText"/>
        <w:bidi w:val="0"/>
        <w:ind w:hanging="0" w:left="0" w:right="0"/>
        <w:jc w:val="left"/>
        <w:rPr/>
      </w:pPr>
      <w:r>
        <w:rPr/>
        <w:drawing>
          <wp:inline distT="0" distB="0" distL="0" distR="0">
            <wp:extent cx="6583680" cy="44831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38</w:t>
      </w:r>
      <w:r>
        <w:rPr>
          <w:sz w:val="16"/>
        </w:rPr>
        <w:t xml:space="preserve"> (PDF page 38) · states: sepsis, refractory hypotension: add epinephrine 2-20 mcg/min (after norepinephrine and vasopressin)</w:t>
      </w:r>
    </w:p>
    <w:p>
      <w:pPr>
        <w:pStyle w:val="BodyText"/>
        <w:bidi w:val="0"/>
        <w:spacing w:before="0" w:after="40"/>
        <w:ind w:hanging="0" w:left="240" w:right="0"/>
        <w:jc w:val="left"/>
        <w:rPr/>
      </w:pPr>
      <w:r>
        <w:rPr/>
        <w:t>“</w:t>
      </w:r>
      <w:r>
        <w:rPr>
          <w:rFonts w:ascii="DejaVu Serif;serif" w:hAnsi="DejaVu Serif;serif"/>
          <w:sz w:val="15"/>
        </w:rPr>
        <w:t>o Administer Norepinephrine 2-12mcg/min IV. o Add Vasopressin 0.03 units/min SBP &lt; 90 or MAP &lt; 65. o Add Epinephrine 2-20 mcg/min SBP &lt; 90 or MAP &lt; 65.”</w:t>
      </w:r>
    </w:p>
    <w:p>
      <w:pPr>
        <w:pStyle w:val="BodyText"/>
        <w:bidi w:val="0"/>
        <w:ind w:hanging="0" w:left="0" w:right="0"/>
        <w:jc w:val="left"/>
        <w:rPr/>
      </w:pPr>
      <w:r>
        <w:rPr/>
        <w:drawing>
          <wp:inline distT="0" distB="0" distL="0" distR="0">
            <wp:extent cx="6583680" cy="44831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(Rev. March 2022): printed page </w:t>
      </w:r>
      <w:r>
        <w:rPr>
          <w:b/>
          <w:sz w:val="16"/>
        </w:rPr>
        <w:t>109</w:t>
      </w:r>
      <w:r>
        <w:rPr>
          <w:sz w:val="16"/>
        </w:rPr>
        <w:t xml:space="preserve"> (PDF page 109) · states: 0.05–0.3 mcg/kg/min (noted only)</w:t>
      </w:r>
    </w:p>
    <w:p>
      <w:pPr>
        <w:pStyle w:val="BodyText"/>
        <w:bidi w:val="0"/>
        <w:spacing w:before="0" w:after="40"/>
        <w:ind w:hanging="0" w:left="240" w:right="0"/>
        <w:jc w:val="left"/>
        <w:rPr/>
      </w:pPr>
      <w:r>
        <w:rPr/>
        <w:t>“</w:t>
      </w:r>
      <w:r>
        <w:rPr>
          <w:rFonts w:ascii="DejaVu Serif;serif" w:hAnsi="DejaVu Serif;serif"/>
          <w:sz w:val="15"/>
        </w:rPr>
        <w:t>ii. Epinephrine, 0.05–0.3 mcg/kg/minute”</w:t>
      </w:r>
    </w:p>
    <w:p>
      <w:pPr>
        <w:pStyle w:val="BodyText"/>
        <w:bidi w:val="0"/>
        <w:ind w:hanging="0" w:left="0" w:right="0"/>
        <w:jc w:val="left"/>
        <w:rPr/>
      </w:pPr>
      <w:r>
        <w:rPr/>
        <w:drawing>
          <wp:inline distT="0" distB="0" distL="0" distR="0">
            <wp:extent cx="6583680" cy="44831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E07</w:t>
      </w:r>
    </w:p>
    <w:p>
      <w:pPr>
        <w:pStyle w:val="Heading2"/>
        <w:bidi w:val="0"/>
        <w:spacing w:before="40" w:after="80"/>
        <w:ind w:hanging="0" w:left="40" w:right="40"/>
        <w:jc w:val="left"/>
        <w:rPr>
          <w:sz w:val="28"/>
        </w:rPr>
      </w:pPr>
      <w:r>
        <w:rPr>
          <w:sz w:val="28"/>
        </w:rPr>
        <w:t>E07. rocuronium: redose interval</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rocuronium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redose interval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 mg/kg IV/IO (range 0.6-1.2 mg/kg), or 8-12 mcg/kg/min IV/IO infusion (SMOG; 'unlabeled and unreferenced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30-45 minutes PRN</w:t>
            </w:r>
          </w:p>
        </w:tc>
      </w:tr>
    </w:tbl>
    <w:p>
      <w:pPr>
        <w:pStyle w:val="BodyText"/>
        <w:bidi w:val="0"/>
        <w:spacing w:before="60" w:after="60"/>
        <w:ind w:hanging="0" w:left="60" w:right="60"/>
        <w:jc w:val="left"/>
        <w:rPr>
          <w:sz w:val="15"/>
        </w:rPr>
      </w:pPr>
      <w:r>
        <w:rPr>
          <w:b/>
          <w:sz w:val="15"/>
        </w:rPr>
        <w:t>Note:</w:t>
      </w:r>
      <w:r>
        <w:rPr>
          <w:sz w:val="15"/>
        </w:rPr>
        <w:t xml:space="preserve"> OWNER RULING 2026-10-19 (Andrew Azelton): not signed. SMOG p.155, the only source, calls this dose "unlabeled and unreferenced". The hold stands. Re-checked: no JTS page (ID39 2026 and 2017, ID40, ID92, ID91, COVID ID85, CCATT) gives a rocuronium maintenance or redose figure. COVID ID85 p.21 gives vecuronium maintenance, a different drug. SMOG is therefore the only number, and it is proposed under 'JTS first, SMOG second'; it is not RETIRE, because SMOG states a number. The SMOG quote interleaves the paediatric column ('• 1 mg/kg every 30-45 minutes', '(Dosing ranges from 0.6 - 1.2 mg/kg.)') exactly as in the layout text; the boxed line is the adult one. No maximum is stated. Cautions on the same page: no analgesia or sedation, so sedate before paralysing and throughout maintenance; resistance in burns &gt;30% TBSA for 5-70 days. ID39 p.28's quote is the RSI box heading, with the interleaved equipment column. NASEMSO has no rocuronium dose.</w:t>
      </w:r>
    </w:p>
    <w:p>
      <w:pPr>
        <w:pStyle w:val="BodyText"/>
        <w:bidi w:val="0"/>
        <w:spacing w:before="80" w:after="20"/>
        <w:ind w:hanging="0" w:left="80" w:right="80"/>
        <w:jc w:val="left"/>
        <w:rPr>
          <w:sz w:val="16"/>
        </w:rPr>
      </w:pPr>
      <w:r>
        <w:rPr>
          <w:b/>
          <w:sz w:val="16"/>
        </w:rPr>
        <w:t>JTS</w:t>
      </w:r>
      <w:r>
        <w:rPr>
          <w:sz w:val="16"/>
        </w:rPr>
        <w:t xml:space="preserve"> · JTS CPG ID39, Airway Management in Trauma (28 Jan 2026): printed page </w:t>
      </w:r>
      <w:r>
        <w:rPr>
          <w:b/>
          <w:sz w:val="16"/>
        </w:rPr>
        <w:t>28</w:t>
      </w:r>
      <w:r>
        <w:rPr>
          <w:sz w:val="16"/>
        </w:rPr>
        <w:t xml:space="preserve"> (PDF page 28) · states: no number for redose: RSI intubating dose only (rocuronium 1.2 mg/kg)</w:t>
      </w:r>
    </w:p>
    <w:p>
      <w:pPr>
        <w:pStyle w:val="BodyText"/>
        <w:bidi w:val="0"/>
        <w:spacing w:before="0" w:after="40"/>
        <w:ind w:hanging="0" w:left="240" w:right="0"/>
        <w:jc w:val="left"/>
        <w:rPr/>
      </w:pPr>
      <w:r>
        <w:rPr/>
        <w:t>“</w:t>
      </w:r>
      <w:r>
        <w:rPr>
          <w:rFonts w:ascii="DejaVu Serif;serif" w:hAnsi="DejaVu Serif;serif"/>
          <w:sz w:val="15"/>
        </w:rPr>
        <w:t>Neuromuscular Blockade Suction, oxygen source, self-inﬂating bag and  Rocuronium: 1.2 mg/kg IV/IO or”</w:t>
      </w:r>
    </w:p>
    <w:p>
      <w:pPr>
        <w:pStyle w:val="BodyText"/>
        <w:bidi w:val="0"/>
        <w:ind w:hanging="0" w:left="0" w:right="0"/>
        <w:jc w:val="left"/>
        <w:rPr/>
      </w:pPr>
      <w:r>
        <w:rPr/>
        <w:drawing>
          <wp:inline distT="0" distB="0" distL="0" distR="0">
            <wp:extent cx="6583680" cy="82296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ID40, Anesthesia for Trauma Patients (05 Apr 2021): printed page </w:t>
      </w:r>
      <w:r>
        <w:rPr>
          <w:b/>
          <w:sz w:val="16"/>
        </w:rPr>
        <w:t>3</w:t>
      </w:r>
      <w:r>
        <w:rPr>
          <w:sz w:val="16"/>
        </w:rPr>
        <w:t xml:space="preserve"> (PDF page 3) · states: no number for redose: intubating dose 1-1.2 mg/kg only</w:t>
      </w:r>
    </w:p>
    <w:p>
      <w:pPr>
        <w:pStyle w:val="BodyText"/>
        <w:bidi w:val="0"/>
        <w:spacing w:before="0" w:after="40"/>
        <w:ind w:hanging="0" w:left="240" w:right="0"/>
        <w:jc w:val="left"/>
        <w:rPr/>
      </w:pPr>
      <w:r>
        <w:rPr/>
        <w:t>“</w:t>
      </w:r>
      <w:r>
        <w:rPr>
          <w:rFonts w:ascii="DejaVu Serif;serif" w:hAnsi="DejaVu Serif;serif"/>
          <w:sz w:val="15"/>
        </w:rPr>
        <w:t>Rocuronium is a non- depolarizing neuromuscular relaxant useful in cases where succinylcholine may be contraindicated (e.g., burns, spinal cord injury, hyperkalemia). An increased dose of Rocuronium (1-1.2 mg/kg) can produce intubating conditions similar to succinylcholine in approximately 60 seconds.”</w:t>
      </w:r>
    </w:p>
    <w:p>
      <w:pPr>
        <w:pStyle w:val="BodyText"/>
        <w:bidi w:val="0"/>
        <w:ind w:hanging="0" w:left="0" w:right="0"/>
        <w:jc w:val="left"/>
        <w:rPr/>
      </w:pPr>
      <w:r>
        <w:rPr/>
        <w:drawing>
          <wp:inline distT="0" distB="0" distL="0" distR="0">
            <wp:extent cx="6583680" cy="82296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155</w:t>
      </w:r>
      <w:r>
        <w:rPr>
          <w:sz w:val="16"/>
        </w:rPr>
        <w:t xml:space="preserve"> (PDF page 155) · states: adult maintenance 1 mg/kg IV/IO q30-45 min PRN or 8-12 mcg/kg/min; range 0.6-1.2 mg/kg; labelled 'unlabeled and unreferenced dose'</w:t>
      </w:r>
    </w:p>
    <w:p>
      <w:pPr>
        <w:pStyle w:val="BodyText"/>
        <w:bidi w:val="0"/>
        <w:spacing w:before="0" w:after="40"/>
        <w:ind w:hanging="0" w:left="240" w:right="0"/>
        <w:jc w:val="left"/>
        <w:rPr/>
      </w:pPr>
      <w:r>
        <w:rPr/>
        <w:t>“</w:t>
      </w:r>
      <w:r>
        <w:rPr>
          <w:rFonts w:ascii="DejaVu Serif;serif" w:hAnsi="DejaVu Serif;serif"/>
          <w:sz w:val="15"/>
        </w:rPr>
        <w:t>Maintenance dosing: (unlabeled and • 1 mg/kg every 30-45 minutes unreferenced dose) (Dosing ranges from 0.6 - 1.2 mg/kg.) IV Push: • 1 mg/kg IV/IO q30-45min PRN or 8-12 mcg/kg/min IV/IO (Dosing ranges from 0.6-1.2 mg/kg)”</w:t>
      </w:r>
    </w:p>
    <w:p>
      <w:pPr>
        <w:pStyle w:val="BodyText"/>
        <w:bidi w:val="0"/>
        <w:ind w:hanging="0" w:left="0" w:right="0"/>
        <w:jc w:val="left"/>
        <w:rPr/>
      </w:pPr>
      <w:r>
        <w:rPr/>
        <w:drawing>
          <wp:inline distT="0" distB="0" distL="0" distR="0">
            <wp:extent cx="6583680" cy="82296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E08</w:t>
      </w:r>
    </w:p>
    <w:p>
      <w:pPr>
        <w:pStyle w:val="Heading2"/>
        <w:bidi w:val="0"/>
        <w:spacing w:before="40" w:after="80"/>
        <w:ind w:hanging="0" w:left="40" w:right="40"/>
        <w:jc w:val="left"/>
        <w:rPr>
          <w:sz w:val="28"/>
        </w:rPr>
      </w:pPr>
      <w:r>
        <w:rPr>
          <w:sz w:val="28"/>
        </w:rPr>
        <w:t>E08. rocuronium: redose interval</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rocuronium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redose interval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 mg/kg IV push (range 0.6-1.2 mg/kg) (SMOG paediatric column; 'unlabeled and unreferenced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30-45 minutes</w:t>
            </w:r>
          </w:p>
        </w:tc>
      </w:tr>
    </w:tbl>
    <w:p>
      <w:pPr>
        <w:pStyle w:val="BodyText"/>
        <w:bidi w:val="0"/>
        <w:spacing w:before="60" w:after="60"/>
        <w:ind w:hanging="0" w:left="60" w:right="60"/>
        <w:jc w:val="left"/>
        <w:rPr>
          <w:sz w:val="15"/>
        </w:rPr>
      </w:pPr>
      <w:r>
        <w:rPr>
          <w:b/>
          <w:sz w:val="15"/>
        </w:rPr>
        <w:t>Note:</w:t>
      </w:r>
      <w:r>
        <w:rPr>
          <w:sz w:val="15"/>
        </w:rPr>
        <w:t xml:space="preserve"> OWNER RULING 2026-10-19 (Andrew Azelton): not signed. SMOG p.155, the only source, calls this dose "unlabeled and unreferenced". The hold stands. Re-checked: no JTS page gives a paediatric rocuronium maintenance figure; ID39 2026 p.28 gives only the paediatric intubating dose (1 mg/kg). The SMOG paediatric column has no infusion and no PRN, unlike the adult column. Its quote interleaves adult-column text ('body weight (IBW)', 'Maintenance dosing: (unlabeled and') exactly as in the layout text; the boxed line is the paediatric one. No maximum is stated. NASEMSO has no rocuronium dose.</w:t>
      </w:r>
    </w:p>
    <w:p>
      <w:pPr>
        <w:pStyle w:val="BodyText"/>
        <w:bidi w:val="0"/>
        <w:spacing w:before="80" w:after="20"/>
        <w:ind w:hanging="0" w:left="80" w:right="80"/>
        <w:jc w:val="left"/>
        <w:rPr>
          <w:sz w:val="16"/>
        </w:rPr>
      </w:pPr>
      <w:r>
        <w:rPr>
          <w:b/>
          <w:sz w:val="16"/>
        </w:rPr>
        <w:t>JTS</w:t>
      </w:r>
      <w:r>
        <w:rPr>
          <w:sz w:val="16"/>
        </w:rPr>
        <w:t xml:space="preserve"> · JTS CPG ID39, Airway Management in Trauma (28 Jan 2026): printed page </w:t>
      </w:r>
      <w:r>
        <w:rPr>
          <w:b/>
          <w:sz w:val="16"/>
        </w:rPr>
        <w:t>28</w:t>
      </w:r>
      <w:r>
        <w:rPr>
          <w:sz w:val="16"/>
        </w:rPr>
        <w:t xml:space="preserve"> (PDF page 28) · states: no number for redose: paediatric RSI intubating dose 1 mg/kg only</w:t>
      </w:r>
    </w:p>
    <w:p>
      <w:pPr>
        <w:pStyle w:val="BodyText"/>
        <w:bidi w:val="0"/>
        <w:spacing w:before="0" w:after="40"/>
        <w:ind w:hanging="0" w:left="240" w:right="0"/>
        <w:jc w:val="left"/>
        <w:rPr/>
      </w:pPr>
      <w:r>
        <w:rPr/>
        <w:t>“</w:t>
      </w:r>
      <w:r>
        <w:rPr>
          <w:rFonts w:ascii="DejaVu Serif;serif" w:hAnsi="DejaVu Serif;serif"/>
          <w:sz w:val="15"/>
        </w:rPr>
        <w:t>4. Neuromuscular blockade - Unstable patients require reduced dosage of  Succinylcholine 1.5mg/kg IV/IO (2mg/kg &lt;5 years old) or induction agent.  Rocuronium 1mg/kg IV/IO”</w:t>
      </w:r>
    </w:p>
    <w:p>
      <w:pPr>
        <w:pStyle w:val="BodyText"/>
        <w:bidi w:val="0"/>
        <w:ind w:hanging="0" w:left="0" w:right="0"/>
        <w:jc w:val="left"/>
        <w:rPr/>
      </w:pPr>
      <w:r>
        <w:rPr/>
        <w:drawing>
          <wp:inline distT="0" distB="0" distL="0" distR="0">
            <wp:extent cx="6583680" cy="105156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rcRect l="-113" t="-710" r="-113" b="-710"/>
                    <a:stretch>
                      <a:fillRect/>
                    </a:stretch>
                  </pic:blipFill>
                  <pic:spPr bwMode="auto">
                    <a:xfrm>
                      <a:off x="0" y="0"/>
                      <a:ext cx="6583680" cy="10515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155</w:t>
      </w:r>
      <w:r>
        <w:rPr>
          <w:sz w:val="16"/>
        </w:rPr>
        <w:t xml:space="preserve"> (PDF page 155) · states: paediatric maintenance bolus 1 mg/kg every 30-45 min; range 0.6-1.2 mg/kg; labelled 'unlabeled and unreferenced dose'</w:t>
      </w:r>
    </w:p>
    <w:p>
      <w:pPr>
        <w:pStyle w:val="BodyText"/>
        <w:bidi w:val="0"/>
        <w:spacing w:before="0" w:after="40"/>
        <w:ind w:hanging="0" w:left="240" w:right="0"/>
        <w:jc w:val="left"/>
        <w:rPr/>
      </w:pPr>
      <w:r>
        <w:rPr/>
        <w:t>“</w:t>
      </w:r>
      <w:r>
        <w:rPr>
          <w:rFonts w:ascii="DejaVu Serif;serif" w:hAnsi="DejaVu Serif;serif"/>
          <w:sz w:val="15"/>
        </w:rPr>
        <w:t>Maintenance bolus dosing: (unlabeled and body weight (IBW) unreferenced dose) IV Push: Maintenance dosing: (unlabeled and • 1 mg/kg every 30-45 minutes unreferenced dose) (Dosing ranges from 0.6 - 1.2 mg/kg.)”</w:t>
      </w:r>
    </w:p>
    <w:p>
      <w:pPr>
        <w:pStyle w:val="BodyText"/>
        <w:bidi w:val="0"/>
        <w:ind w:hanging="0" w:left="0" w:right="0"/>
        <w:jc w:val="left"/>
        <w:rPr/>
      </w:pPr>
      <w:r>
        <w:rPr/>
        <w:drawing>
          <wp:inline distT="0" distB="0" distL="0" distR="0">
            <wp:extent cx="6583680" cy="105156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rcRect l="-113" t="-710" r="-113" b="-710"/>
                    <a:stretch>
                      <a:fillRect/>
                    </a:stretch>
                  </pic:blipFill>
                  <pic:spPr bwMode="auto">
                    <a:xfrm>
                      <a:off x="0" y="0"/>
                      <a:ext cx="6583680" cy="10515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155</w:t>
      </w:r>
      <w:r>
        <w:rPr>
          <w:sz w:val="16"/>
        </w:rPr>
        <w:t xml:space="preserve"> (PDF page 155) · states: column header: the maintenance bolus line is in the PEDIATRIC (right) column</w:t>
      </w:r>
    </w:p>
    <w:p>
      <w:pPr>
        <w:pStyle w:val="BodyText"/>
        <w:bidi w:val="0"/>
        <w:spacing w:before="0" w:after="40"/>
        <w:ind w:hanging="0" w:left="240" w:right="0"/>
        <w:jc w:val="left"/>
        <w:rPr/>
      </w:pPr>
      <w:r>
        <w:rPr/>
        <w:t>“</w:t>
      </w:r>
      <w:r>
        <w:rPr>
          <w:rFonts w:ascii="DejaVu Serif;serif" w:hAnsi="DejaVu Serif;serif"/>
          <w:sz w:val="15"/>
        </w:rPr>
        <w:t>Dose and Administration: ADULT PEDIATRIC Always Reference BROSELOW Tape”</w:t>
      </w:r>
    </w:p>
    <w:p>
      <w:pPr>
        <w:pStyle w:val="BodyText"/>
        <w:bidi w:val="0"/>
        <w:ind w:hanging="0" w:left="0" w:right="0"/>
        <w:jc w:val="left"/>
        <w:rPr/>
      </w:pPr>
      <w:r>
        <w:rPr/>
        <w:drawing>
          <wp:inline distT="0" distB="0" distL="0" distR="0">
            <wp:extent cx="6583680" cy="105156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rcRect l="-113" t="-710" r="-113" b="-710"/>
                    <a:stretch>
                      <a:fillRect/>
                    </a:stretch>
                  </pic:blipFill>
                  <pic:spPr bwMode="auto">
                    <a:xfrm>
                      <a:off x="0" y="0"/>
                      <a:ext cx="6583680" cy="105156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E09</w:t>
      </w:r>
    </w:p>
    <w:p>
      <w:pPr>
        <w:pStyle w:val="Heading2"/>
        <w:bidi w:val="0"/>
        <w:spacing w:before="40" w:after="80"/>
        <w:ind w:hanging="0" w:left="40" w:right="40"/>
        <w:jc w:val="left"/>
        <w:rPr>
          <w:sz w:val="28"/>
        </w:rPr>
      </w:pPr>
      <w:r>
        <w:rPr>
          <w:sz w:val="28"/>
        </w:rPr>
        <w:t>E09. fentanyl: analgesia infusion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fentanyl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analgesia infusion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25-250 mcg/hr IV continuous infusion (ICU order set; starting rate left blank in the source)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250 mcg/hr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gives a flat rate: ID29 p.24 25-250 mcg/hr, and ID12 p.24 titrate up to 250 mcg/hr. SMOG gives a weight-based rate: p.118/119, 1-2 mcg/kg bolus, then 0.5-1 mcg/kg/hr, for sedation during mechanical ventilation. At 80 kg SMOG is 40-80 mcg/hr, so its ceiling is about a third of the JTS 250 mcg/hr. JTS's lower bound of 25 mcg/hr matches SMOG at 50 kg.</w:t>
      </w:r>
    </w:p>
    <w:p>
      <w:pPr>
        <w:pStyle w:val="BodyText"/>
        <w:bidi w:val="0"/>
        <w:spacing w:before="60" w:after="60"/>
        <w:ind w:hanging="0" w:left="60" w:right="60"/>
        <w:jc w:val="left"/>
        <w:rPr>
          <w:sz w:val="15"/>
        </w:rPr>
      </w:pPr>
      <w:r>
        <w:rPr>
          <w:b/>
          <w:sz w:val="15"/>
        </w:rPr>
        <w:t>Note:</w:t>
      </w:r>
      <w:r>
        <w:rPr>
          <w:sz w:val="15"/>
        </w:rPr>
        <w:t xml:space="preserve"> No owner ruling on file (bank adjudication null; drafted 2026-10-08, not signed). Starting rate: no JTS page states one (both order sets leave it blank). SMOG's 1-2 mcg/kg bolus is the only initial figure. Population: neither JTS order set says 'adult', but the flat mcg/hr rate reads as adult. Setting: ID29 p.16 makes 'fentanyl drip or equivalent' Option 1 for background pain in the intubated, haemodynamically stable patient; it is not a point-of-injury dose. ID29 p.24 also gives a breakthrough bolus of 25-100 mcg IV every 10 minutes as needed, and ID12 gives 25-100 mcg IVP Q 15 minutes. ID12 marks fentanyl a high-risk medication, and ID29 p.7 says naloxone should be available. The Burn Care PDF (file ID12) prints 'ID:20' in its header. Excluded: SMOG p.57 'Fentanyl 2-10 mcg/kg/hour' and the MWD CPG figures are military working dog doses. NASEMSO gives intermittent fentanyl only, with no infusion. The SMOG p.118 quote interleaves the paediatric column ('to stress.') exactly as in the layout text.</w:t>
      </w:r>
    </w:p>
    <w:p>
      <w:pPr>
        <w:pStyle w:val="BodyText"/>
        <w:bidi w:val="0"/>
        <w:spacing w:before="80" w:after="20"/>
        <w:ind w:hanging="0" w:left="80" w:right="80"/>
        <w:jc w:val="left"/>
        <w:rPr>
          <w:sz w:val="16"/>
        </w:rPr>
      </w:pPr>
      <w:r>
        <w:rPr>
          <w:b/>
          <w:sz w:val="16"/>
        </w:rPr>
        <w:t>JTS</w:t>
      </w:r>
      <w:r>
        <w:rPr>
          <w:sz w:val="16"/>
        </w:rPr>
        <w:t xml:space="preserve"> · JTS CPG ID29, Pain, Anxiety and Delirium (26 Apr 2021, v1.2): printed page </w:t>
      </w:r>
      <w:r>
        <w:rPr>
          <w:b/>
          <w:sz w:val="16"/>
        </w:rPr>
        <w:t>24</w:t>
      </w:r>
      <w:r>
        <w:rPr>
          <w:sz w:val="16"/>
        </w:rPr>
        <w:t xml:space="preserve"> (PDF page 24) · states: continuous 25-250 mcg/hr, titrated to pain score; start after intermittent dosing needed more than Q 2 hours</w:t>
      </w:r>
    </w:p>
    <w:p>
      <w:pPr>
        <w:pStyle w:val="BodyText"/>
        <w:bidi w:val="0"/>
        <w:spacing w:before="0" w:after="40"/>
        <w:ind w:hanging="0" w:left="240" w:right="0"/>
        <w:jc w:val="left"/>
        <w:rPr/>
      </w:pPr>
      <w:r>
        <w:rPr/>
        <w:t>“</w:t>
      </w:r>
      <w:r>
        <w:rPr>
          <w:rFonts w:ascii="DejaVu Serif;serif" w:hAnsi="DejaVu Serif;serif"/>
          <w:sz w:val="15"/>
        </w:rPr>
        <w:t>fentanyl IV mcg (25-250 mcg/hr), Intravenous, CONTINUOUS Titrate pain medication to achieve a level 3 or (pain scale 0-10). Stop intermittent dosing if continuous infusion initiated and notify Pharmacy Services. **High-Risk Medication**”</w:t>
      </w:r>
    </w:p>
    <w:p>
      <w:pPr>
        <w:pStyle w:val="BodyText"/>
        <w:bidi w:val="0"/>
        <w:ind w:hanging="0" w:left="0" w:right="0"/>
        <w:jc w:val="left"/>
        <w:rPr/>
      </w:pPr>
      <w:r>
        <w:rPr/>
        <w:drawing>
          <wp:inline distT="0" distB="0" distL="0" distR="0">
            <wp:extent cx="6583680" cy="44831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ID12, Burn Care (10 Jun 2025) (page header prints 'ID:20'): printed page </w:t>
      </w:r>
      <w:r>
        <w:rPr>
          <w:b/>
          <w:sz w:val="16"/>
        </w:rPr>
        <w:t>24</w:t>
      </w:r>
      <w:r>
        <w:rPr>
          <w:sz w:val="16"/>
        </w:rPr>
        <w:t xml:space="preserve"> (PDF page 24) · states: burn ICU order set: start blank, titrate up to 250 mcg/hr</w:t>
      </w:r>
    </w:p>
    <w:p>
      <w:pPr>
        <w:pStyle w:val="BodyText"/>
        <w:bidi w:val="0"/>
        <w:spacing w:before="0" w:after="40"/>
        <w:ind w:hanging="0" w:left="240" w:right="0"/>
        <w:jc w:val="left"/>
        <w:rPr/>
      </w:pPr>
      <w:r>
        <w:rPr/>
        <w:t>“</w:t>
      </w:r>
      <w:r>
        <w:rPr>
          <w:rFonts w:ascii="DejaVu Serif;serif" w:hAnsi="DejaVu Serif;serif"/>
          <w:sz w:val="15"/>
        </w:rPr>
        <w:t>15.3. _____Fentanyl gtt at _____mcg/hr titrate up to 250 mcg/hr; for analgesia may give 25-100 mcg IVP Q 15 minutes for acute pain or burn wound care.”</w:t>
      </w:r>
    </w:p>
    <w:p>
      <w:pPr>
        <w:pStyle w:val="BodyText"/>
        <w:bidi w:val="0"/>
        <w:ind w:hanging="0" w:left="0" w:right="0"/>
        <w:jc w:val="left"/>
        <w:rPr/>
      </w:pPr>
      <w:r>
        <w:rPr/>
        <w:drawing>
          <wp:inline distT="0" distB="0" distL="0" distR="0">
            <wp:extent cx="6583680" cy="44831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118</w:t>
      </w:r>
      <w:r>
        <w:rPr>
          <w:sz w:val="16"/>
        </w:rPr>
        <w:t xml:space="preserve"> (PDF page 118) · states: sedation during mechanical ventilation: bolus 1-2 mcg/kg, then 0.5-1 mcg/kg/hr infusion</w:t>
      </w:r>
    </w:p>
    <w:p>
      <w:pPr>
        <w:pStyle w:val="BodyText"/>
        <w:bidi w:val="0"/>
        <w:spacing w:before="0" w:after="40"/>
        <w:ind w:hanging="0" w:left="240" w:right="0"/>
        <w:jc w:val="left"/>
        <w:rPr/>
      </w:pPr>
      <w:r>
        <w:rPr/>
        <w:t>“</w:t>
      </w:r>
      <w:r>
        <w:rPr>
          <w:rFonts w:ascii="DejaVu Serif;serif" w:hAnsi="DejaVu Serif;serif"/>
          <w:sz w:val="15"/>
        </w:rPr>
        <w:t>Sedation during mechanical ventilation: IV: to stress. • Initial Bolus: 1-2mcg/kg Continued Sedation: • 0.5-1mcg/kg/hr. infusion (See Infusion chart next page) (Combine with Midazolam for best effect)”</w:t>
      </w:r>
    </w:p>
    <w:p>
      <w:pPr>
        <w:pStyle w:val="BodyText"/>
        <w:bidi w:val="0"/>
        <w:ind w:hanging="0" w:left="0" w:right="0"/>
        <w:jc w:val="left"/>
        <w:rPr/>
      </w:pPr>
      <w:r>
        <w:rPr/>
        <w:drawing>
          <wp:inline distT="0" distB="0" distL="0" distR="0">
            <wp:extent cx="6583680" cy="44831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119</w:t>
      </w:r>
      <w:r>
        <w:rPr>
          <w:sz w:val="16"/>
        </w:rPr>
        <w:t xml:space="preserve"> (PDF page 119) · states: chart: 0.5-1 mcg/kg/hr; mix 1 mg/100 mL (10 mcg/mL)</w:t>
      </w:r>
    </w:p>
    <w:p>
      <w:pPr>
        <w:pStyle w:val="BodyText"/>
        <w:bidi w:val="0"/>
        <w:spacing w:before="0" w:after="40"/>
        <w:ind w:hanging="0" w:left="240" w:right="0"/>
        <w:jc w:val="left"/>
        <w:rPr/>
      </w:pPr>
      <w:r>
        <w:rPr/>
        <w:t>“</w:t>
      </w:r>
      <w:r>
        <w:rPr>
          <w:rFonts w:ascii="DejaVu Serif;serif" w:hAnsi="DejaVu Serif;serif"/>
          <w:sz w:val="15"/>
        </w:rPr>
        <w:t>FENTANYL (SUBLIMASE) Dosing Range: 0.5‐1 mcg/kg/hr MIX 1 mg/100 mL CONCENTRATION 10 mcg/mL”</w:t>
      </w:r>
    </w:p>
    <w:p>
      <w:pPr>
        <w:pStyle w:val="BodyText"/>
        <w:bidi w:val="0"/>
        <w:ind w:hanging="0" w:left="0" w:right="0"/>
        <w:jc w:val="left"/>
        <w:rPr/>
      </w:pPr>
      <w:r>
        <w:rPr/>
        <w:drawing>
          <wp:inline distT="0" distB="0" distL="0" distR="0">
            <wp:extent cx="6583680" cy="44831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E10</w:t>
      </w:r>
    </w:p>
    <w:p>
      <w:pPr>
        <w:pStyle w:val="Heading2"/>
        <w:bidi w:val="0"/>
        <w:spacing w:before="40" w:after="80"/>
        <w:ind w:hanging="0" w:left="40" w:right="40"/>
        <w:jc w:val="left"/>
        <w:rPr>
          <w:sz w:val="28"/>
        </w:rPr>
      </w:pPr>
      <w:r>
        <w:rPr>
          <w:sz w:val="28"/>
        </w:rPr>
        <w:t>E10. ertapenem: penetrating abdominal injury</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ertapenem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penetrating abdominal injury</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 g IV x 1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single dose (ID24 p.12: "Single dose therapy"); ID24 p.11 duration column: stop 24 hours after control of contamination</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Dose agrees across sources (1 g). Course differs: ID24 p.11-12 and SMOG p.64 give a single dose (ID24 p.11 stop 24 h after control of contamination), whereas ID91 (PCC) p.38 gives 1 g daily for 10 days. SMOG p.64's Abdominal Wounds row lists only cefazolin + metronidazole; ertapenem appears there only under Delayed Evacuation.</w:t>
      </w:r>
    </w:p>
    <w:p>
      <w:pPr>
        <w:pStyle w:val="BodyText"/>
        <w:bidi w:val="0"/>
        <w:spacing w:before="60" w:after="60"/>
        <w:ind w:hanging="0" w:left="60" w:right="60"/>
        <w:jc w:val="left"/>
        <w:rPr>
          <w:sz w:val="15"/>
        </w:rPr>
      </w:pPr>
      <w:r>
        <w:rPr>
          <w:b/>
          <w:sz w:val="15"/>
        </w:rPr>
        <w:t>Note:</w:t>
      </w:r>
      <w:r>
        <w:rPr>
          <w:sz w:val="15"/>
        </w:rPr>
        <w:t xml:space="preserve"> In ID24 p.11 ertapenem is the ALTERNATE agent for penetrating abdominal injury with hollow viscus injury/soilage; cefazolin + metronidazole is preferred. No max per dose or per day is printed for adults (the 1 gm/day maximum on ID24 p.12 is in the paediatric footnote). Also 1 g in ID62 p.10/24, ID83 p.8 and ID58 p.6/11 (other indications). NASEMSO has no ertapenem.</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Appendix B Table 1, Abdominal Wounds: printed page </w:t>
      </w:r>
      <w:r>
        <w:rPr>
          <w:b/>
          <w:sz w:val="16"/>
        </w:rPr>
        <w:t>11</w:t>
      </w:r>
      <w:r>
        <w:rPr>
          <w:sz w:val="16"/>
        </w:rPr>
        <w:t xml:space="preserve"> (PDF page 11) · states: 1 gm IV x 1 dose (alternate agent; preferred is cefazolin + metronidazole), hollow viscus injury/soilage</w:t>
      </w:r>
    </w:p>
    <w:p>
      <w:pPr>
        <w:pStyle w:val="BodyText"/>
        <w:bidi w:val="0"/>
        <w:spacing w:before="0" w:after="40"/>
        <w:ind w:hanging="0" w:left="240" w:right="0"/>
        <w:jc w:val="left"/>
        <w:rPr/>
      </w:pPr>
      <w:r>
        <w:rPr/>
        <w:t>“</w:t>
      </w:r>
      <w:r>
        <w:rPr>
          <w:rFonts w:ascii="DejaVu Serif;serif" w:hAnsi="DejaVu Serif;serif"/>
          <w:sz w:val="15"/>
        </w:rPr>
        <w:t>Penetrating abdominal Cefazolin, 2 gm IV q6-8h†‡ PLUS metronidazole Ertapenem 1 gm IV x 1 dose, OR Moxifloxacin 400 mg Stop 24 hours after control of”</w:t>
      </w:r>
    </w:p>
    <w:p>
      <w:pPr>
        <w:pStyle w:val="BodyText"/>
        <w:bidi w:val="0"/>
        <w:ind w:hanging="0" w:left="0" w:right="0"/>
        <w:jc w:val="left"/>
        <w:rPr/>
      </w:pPr>
      <w:r>
        <w:rPr/>
        <w:drawing>
          <wp:inline distT="0" distB="0" distL="0" distR="0">
            <wp:extent cx="6583680" cy="62166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rcRect l="-87" t="-936" r="-87" b="-93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Appendix B Table 1, Point of Injury/Delayed Evacuation: printed page </w:t>
      </w:r>
      <w:r>
        <w:rPr>
          <w:b/>
          <w:sz w:val="16"/>
        </w:rPr>
        <w:t>12</w:t>
      </w:r>
      <w:r>
        <w:rPr>
          <w:sz w:val="16"/>
        </w:rPr>
        <w:t xml:space="preserve"> (PDF page 12) · states: 1 g IV or IM, single dose, if penetrating abdominal injury (delayed evacuation)</w:t>
      </w:r>
    </w:p>
    <w:p>
      <w:pPr>
        <w:pStyle w:val="BodyText"/>
        <w:bidi w:val="0"/>
        <w:spacing w:before="0" w:after="40"/>
        <w:ind w:hanging="0" w:left="240" w:right="0"/>
        <w:jc w:val="left"/>
        <w:rPr/>
      </w:pPr>
      <w:r>
        <w:rPr/>
        <w:t>“</w:t>
      </w:r>
      <w:r>
        <w:rPr>
          <w:rFonts w:ascii="DejaVu Serif;serif" w:hAnsi="DejaVu Serif;serif"/>
          <w:sz w:val="15"/>
        </w:rPr>
        <w:t>Expected delay to reach Moxifloxacin 400 mg PO x 1 dose. Ertapenem 1 g Levofloxacin 500 mg PO x 1 dose. Cefotetan 2 g IV or Single dose therapy surgical care IV or IM if penetrating abdominal injury, shock, or IM q12h if penetrating abdominal injury, shock, or”</w:t>
      </w:r>
    </w:p>
    <w:p>
      <w:pPr>
        <w:pStyle w:val="BodyText"/>
        <w:bidi w:val="0"/>
        <w:ind w:hanging="0" w:left="0" w:right="0"/>
        <w:jc w:val="left"/>
        <w:rPr/>
      </w:pPr>
      <w:r>
        <w:rPr/>
        <w:drawing>
          <wp:inline distT="0" distB="0" distL="0" distR="0">
            <wp:extent cx="6583680" cy="62166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rcRect l="-87" t="-936" r="-87" b="-93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Table 11 TCCC Antibiotics: printed page </w:t>
      </w:r>
      <w:r>
        <w:rPr>
          <w:b/>
          <w:sz w:val="16"/>
        </w:rPr>
        <w:t>38</w:t>
      </w:r>
      <w:r>
        <w:rPr>
          <w:sz w:val="16"/>
        </w:rPr>
        <w:t xml:space="preserve"> (PDF page 38) · states: 1 g daily IV/IO/IM for 10 days (prolonged casualty care, any penetrating trauma)</w:t>
      </w:r>
    </w:p>
    <w:p>
      <w:pPr>
        <w:pStyle w:val="BodyText"/>
        <w:bidi w:val="0"/>
        <w:spacing w:before="0" w:after="40"/>
        <w:ind w:hanging="0" w:left="240" w:right="0"/>
        <w:jc w:val="left"/>
        <w:rPr/>
      </w:pPr>
      <w:r>
        <w:rPr/>
        <w:t>“</w:t>
      </w:r>
      <w:r>
        <w:rPr>
          <w:rFonts w:ascii="DejaVu Serif;serif" w:hAnsi="DejaVu Serif;serif"/>
          <w:sz w:val="15"/>
        </w:rPr>
        <w:t>Ertapenem (Invanz®) Administer 1g daily IV/IO/IM for 10 days”</w:t>
      </w:r>
    </w:p>
    <w:p>
      <w:pPr>
        <w:pStyle w:val="BodyText"/>
        <w:bidi w:val="0"/>
        <w:ind w:hanging="0" w:left="0" w:right="0"/>
        <w:jc w:val="left"/>
        <w:rPr/>
      </w:pPr>
      <w:r>
        <w:rPr/>
        <w:drawing>
          <wp:inline distT="0" distB="0" distL="0" distR="0">
            <wp:extent cx="6583680" cy="62166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Antibiotic Therapy Chart, Delayed Evacuation to Surgical Care: printed page </w:t>
      </w:r>
      <w:r>
        <w:rPr>
          <w:b/>
          <w:sz w:val="16"/>
        </w:rPr>
        <w:t>64</w:t>
      </w:r>
      <w:r>
        <w:rPr>
          <w:sz w:val="16"/>
        </w:rPr>
        <w:t xml:space="preserve"> (PDF page 64) · states: 1 g IV/IM x 1 dose when PO not tolerated (delayed evacuation)</w:t>
      </w:r>
    </w:p>
    <w:p>
      <w:pPr>
        <w:pStyle w:val="BodyText"/>
        <w:bidi w:val="0"/>
        <w:spacing w:before="0" w:after="40"/>
        <w:ind w:hanging="0" w:left="240" w:right="0"/>
        <w:jc w:val="left"/>
        <w:rPr/>
      </w:pPr>
      <w:r>
        <w:rPr/>
        <w:t>“</w:t>
      </w:r>
      <w:r>
        <w:rPr>
          <w:rFonts w:ascii="DejaVu Serif;serif" w:hAnsi="DejaVu Serif;serif"/>
          <w:sz w:val="15"/>
        </w:rPr>
        <w:t>Not PO tolerable X 1 dose Ertapenem 1 g IV/ IM”</w:t>
      </w:r>
    </w:p>
    <w:p>
      <w:pPr>
        <w:pStyle w:val="BodyText"/>
        <w:bidi w:val="0"/>
        <w:ind w:hanging="0" w:left="0" w:right="0"/>
        <w:jc w:val="left"/>
        <w:rPr/>
      </w:pPr>
      <w:r>
        <w:rPr/>
        <w:drawing>
          <wp:inline distT="0" distB="0" distL="0" distR="0">
            <wp:extent cx="6583680" cy="62166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E11</w:t>
      </w:r>
    </w:p>
    <w:p>
      <w:pPr>
        <w:pStyle w:val="Heading2"/>
        <w:bidi w:val="0"/>
        <w:spacing w:before="40" w:after="80"/>
        <w:ind w:hanging="0" w:left="40" w:right="40"/>
        <w:jc w:val="left"/>
        <w:rPr>
          <w:sz w:val="28"/>
        </w:rPr>
      </w:pPr>
      <w:r>
        <w:rPr>
          <w:sz w:val="28"/>
        </w:rPr>
        <w:t>E11. moxifloxacin: combat wound prophylaxis (oral)</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moxifloxacin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combat wound prophylaxis (oral)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400 mg PO x 1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single dose (ID24 p.12: "Single dose therapy")</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Dose agrees (400 mg). Course differs: ID24 p.12, ID62 p.24 and SMOG p.64 give a single dose; ID91 (PCC) p.38 gives 400 mg daily for 10 days. ID62 p.24 also says to continue antibiotics for 24 hours after injury (5 days if following the ICRC method).</w:t>
      </w:r>
    </w:p>
    <w:p>
      <w:pPr>
        <w:pStyle w:val="BodyText"/>
        <w:bidi w:val="0"/>
        <w:spacing w:before="60" w:after="60"/>
        <w:ind w:hanging="0" w:left="60" w:right="60"/>
        <w:jc w:val="left"/>
        <w:rPr>
          <w:sz w:val="15"/>
        </w:rPr>
      </w:pPr>
      <w:r>
        <w:rPr>
          <w:b/>
          <w:sz w:val="15"/>
        </w:rPr>
        <w:t>Note:</w:t>
      </w:r>
      <w:r>
        <w:rPr>
          <w:sz w:val="15"/>
        </w:rPr>
        <w:t xml:space="preserve"> No max is printed. Other JTS pages give 400 mg PO daily for other indications (eye injury ID24 p.12, ID03, ID66; TBI ID63 p.8 for 5 days; sepsis minimum ID83 p.8). NASEMSO has no moxifloxacin.</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Appendix B Table 1, Point of Injury/Delayed Evacuation: printed page </w:t>
      </w:r>
      <w:r>
        <w:rPr>
          <w:b/>
          <w:sz w:val="16"/>
        </w:rPr>
        <w:t>12</w:t>
      </w:r>
      <w:r>
        <w:rPr>
          <w:sz w:val="16"/>
        </w:rPr>
        <w:t xml:space="preserve"> (PDF page 12) · states: 400 mg PO x 1 dose, single-dose therapy (expected delay to surgical care)</w:t>
      </w:r>
    </w:p>
    <w:p>
      <w:pPr>
        <w:pStyle w:val="BodyText"/>
        <w:bidi w:val="0"/>
        <w:spacing w:before="0" w:after="40"/>
        <w:ind w:hanging="0" w:left="240" w:right="0"/>
        <w:jc w:val="left"/>
        <w:rPr/>
      </w:pPr>
      <w:r>
        <w:rPr/>
        <w:t>“</w:t>
      </w:r>
      <w:r>
        <w:rPr>
          <w:rFonts w:ascii="DejaVu Serif;serif" w:hAnsi="DejaVu Serif;serif"/>
          <w:sz w:val="15"/>
        </w:rPr>
        <w:t>Expected delay to reach Moxifloxacin 400 mg PO x 1 dose. Ertapenem 1 g Levofloxacin 500 mg PO x 1 dose. Cefotetan 2 g IV or Single dose therapy”</w:t>
      </w:r>
    </w:p>
    <w:p>
      <w:pPr>
        <w:pStyle w:val="BodyText"/>
        <w:bidi w:val="0"/>
        <w:ind w:hanging="0" w:left="0" w:right="0"/>
        <w:jc w:val="left"/>
        <w:rPr/>
      </w:pPr>
      <w:r>
        <w:rPr/>
        <w:drawing>
          <wp:inline distT="0" distB="0" distL="0" distR="0">
            <wp:extent cx="6583680" cy="75882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0"/>
                    <a:srcRect l="-87" t="-767" r="-87" b="-767"/>
                    <a:stretch>
                      <a:fillRect/>
                    </a:stretch>
                  </pic:blipFill>
                  <pic:spPr bwMode="auto">
                    <a:xfrm>
                      <a:off x="0" y="0"/>
                      <a:ext cx="6583680" cy="75882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ID62, Acute Traumatic Wound Management in PFC (24 Jul 2017), Infection prevention: printed page </w:t>
      </w:r>
      <w:r>
        <w:rPr>
          <w:b/>
          <w:sz w:val="16"/>
        </w:rPr>
        <w:t>24</w:t>
      </w:r>
      <w:r>
        <w:rPr>
          <w:sz w:val="16"/>
        </w:rPr>
        <w:t xml:space="preserve"> (PDF page 24) · states: 400 mg PO x 1 dose for open wounds</w:t>
      </w:r>
    </w:p>
    <w:p>
      <w:pPr>
        <w:pStyle w:val="BodyText"/>
        <w:bidi w:val="0"/>
        <w:spacing w:before="0" w:after="40"/>
        <w:ind w:hanging="0" w:left="240" w:right="0"/>
        <w:jc w:val="left"/>
        <w:rPr/>
      </w:pPr>
      <w:r>
        <w:rPr/>
        <w:t>“</w:t>
      </w:r>
      <w:r>
        <w:rPr>
          <w:rFonts w:ascii="DejaVu Serif;serif" w:hAnsi="DejaVu Serif;serif"/>
          <w:sz w:val="15"/>
        </w:rPr>
        <w:t>Moxifloxacin 400mg PO × 1 dose or levofloxacin 750mg PO × 1 dose”</w:t>
      </w:r>
    </w:p>
    <w:p>
      <w:pPr>
        <w:pStyle w:val="BodyText"/>
        <w:bidi w:val="0"/>
        <w:ind w:hanging="0" w:left="0" w:right="0"/>
        <w:jc w:val="left"/>
        <w:rPr/>
      </w:pPr>
      <w:r>
        <w:rPr/>
        <w:drawing>
          <wp:inline distT="0" distB="0" distL="0" distR="0">
            <wp:extent cx="6583680" cy="75882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1"/>
                    <a:srcRect l="-113" t="-989" r="-113" b="-989"/>
                    <a:stretch>
                      <a:fillRect/>
                    </a:stretch>
                  </pic:blipFill>
                  <pic:spPr bwMode="auto">
                    <a:xfrm>
                      <a:off x="0" y="0"/>
                      <a:ext cx="6583680" cy="75882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Table 11 TCCC Antibiotics: printed page </w:t>
      </w:r>
      <w:r>
        <w:rPr>
          <w:b/>
          <w:sz w:val="16"/>
        </w:rPr>
        <w:t>38</w:t>
      </w:r>
      <w:r>
        <w:rPr>
          <w:sz w:val="16"/>
        </w:rPr>
        <w:t xml:space="preserve"> (PDF page 38) · states: 400 mg PO daily for 10 days (prolonged casualty care)</w:t>
      </w:r>
    </w:p>
    <w:p>
      <w:pPr>
        <w:pStyle w:val="BodyText"/>
        <w:bidi w:val="0"/>
        <w:spacing w:before="0" w:after="40"/>
        <w:ind w:hanging="0" w:left="240" w:right="0"/>
        <w:jc w:val="left"/>
        <w:rPr/>
      </w:pPr>
      <w:r>
        <w:rPr/>
        <w:t>“</w:t>
      </w:r>
      <w:r>
        <w:rPr>
          <w:rFonts w:ascii="DejaVu Serif;serif" w:hAnsi="DejaVu Serif;serif"/>
          <w:sz w:val="15"/>
        </w:rPr>
        <w:t>Moxifloxacin (Avelox®) Administer 400mg PO daily for 10 days”</w:t>
      </w:r>
    </w:p>
    <w:p>
      <w:pPr>
        <w:pStyle w:val="BodyText"/>
        <w:bidi w:val="0"/>
        <w:ind w:hanging="0" w:left="0" w:right="0"/>
        <w:jc w:val="left"/>
        <w:rPr/>
      </w:pPr>
      <w:r>
        <w:rPr/>
        <w:drawing>
          <wp:inline distT="0" distB="0" distL="0" distR="0">
            <wp:extent cx="6583680" cy="75882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2"/>
                    <a:srcRect l="-113" t="-989" r="-113" b="-989"/>
                    <a:stretch>
                      <a:fillRect/>
                    </a:stretch>
                  </pic:blipFill>
                  <pic:spPr bwMode="auto">
                    <a:xfrm>
                      <a:off x="0" y="0"/>
                      <a:ext cx="6583680" cy="75882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Antibiotic Therapy Chart, Delayed Evacuation to Surgical Care: printed page </w:t>
      </w:r>
      <w:r>
        <w:rPr>
          <w:b/>
          <w:sz w:val="16"/>
        </w:rPr>
        <w:t>64</w:t>
      </w:r>
      <w:r>
        <w:rPr>
          <w:sz w:val="16"/>
        </w:rPr>
        <w:t xml:space="preserve"> (PDF page 64) · states: 400 mg PO x 1 dose when PO tolerated</w:t>
      </w:r>
    </w:p>
    <w:p>
      <w:pPr>
        <w:pStyle w:val="BodyText"/>
        <w:bidi w:val="0"/>
        <w:spacing w:before="0" w:after="40"/>
        <w:ind w:hanging="0" w:left="240" w:right="0"/>
        <w:jc w:val="left"/>
        <w:rPr/>
      </w:pPr>
      <w:r>
        <w:rPr/>
        <w:t>“</w:t>
      </w:r>
      <w:r>
        <w:rPr>
          <w:rFonts w:ascii="DejaVu Serif;serif" w:hAnsi="DejaVu Serif;serif"/>
          <w:sz w:val="15"/>
        </w:rPr>
        <w:t>Moxifloxacin 400 mg PO x 1 PO tolerable X 1 dose”</w:t>
      </w:r>
    </w:p>
    <w:p>
      <w:pPr>
        <w:pStyle w:val="BodyText"/>
        <w:bidi w:val="0"/>
        <w:ind w:hanging="0" w:left="0" w:right="0"/>
        <w:jc w:val="left"/>
        <w:rPr/>
      </w:pPr>
      <w:r>
        <w:rPr/>
        <w:drawing>
          <wp:inline distT="0" distB="0" distL="0" distR="0">
            <wp:extent cx="6583680" cy="75882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3"/>
                    <a:srcRect l="-113" t="-989" r="-113" b="-989"/>
                    <a:stretch>
                      <a:fillRect/>
                    </a:stretch>
                  </pic:blipFill>
                  <pic:spPr bwMode="auto">
                    <a:xfrm>
                      <a:off x="0" y="0"/>
                      <a:ext cx="6583680" cy="75882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E12</w:t>
      </w:r>
    </w:p>
    <w:p>
      <w:pPr>
        <w:pStyle w:val="Heading2"/>
        <w:bidi w:val="0"/>
        <w:spacing w:before="40" w:after="80"/>
        <w:ind w:hanging="0" w:left="40" w:right="40"/>
        <w:jc w:val="left"/>
        <w:rPr>
          <w:sz w:val="28"/>
        </w:rPr>
      </w:pPr>
      <w:r>
        <w:rPr>
          <w:sz w:val="28"/>
        </w:rPr>
        <w:t>E12. ceftriaxone: sepsis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ceftriaxone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sepsis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OWNER RULING 2026-10-19 (Andrew Azelton): cannot be signed; hold. No JTS or SMOG page states a paediatric ceftriaxone dose for sepsis. ID24 p.12 footnote ‡ gives "ceftriaxone, 100 mg/kg/day IV divided q12-24h", labelled on the next line "(dosing for CNS injury)"; it is not carried across to sepsis. ID83 p.8 and ID91 p.40 (2 g IV/IO q24h) and SMOG p.38 (2 g) are adult. SMOG has no ceftriaxone monograph. NASEMSO has no ceftriaxone. The MWD CPG (ID16 p.47/81, 25 mg/kg) is for dogs and not usable.</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Table 1 footnote ‡ (Pediatric dosing): printed page </w:t>
      </w:r>
      <w:r>
        <w:rPr>
          <w:b/>
          <w:sz w:val="16"/>
        </w:rPr>
        <w:t>12</w:t>
      </w:r>
      <w:r>
        <w:rPr>
          <w:sz w:val="16"/>
        </w:rPr>
        <w:t xml:space="preserve"> (PDF page 12) · states: no number (for sepsis); the paediatric ceftriaxone figure on this page, 100 mg/kg/day IV divided q12-24h, is labelled dosing for CNS injury</w:t>
      </w:r>
    </w:p>
    <w:p>
      <w:pPr>
        <w:pStyle w:val="BodyText"/>
        <w:bidi w:val="0"/>
        <w:spacing w:before="0" w:after="40"/>
        <w:ind w:hanging="0" w:left="240" w:right="0"/>
        <w:jc w:val="left"/>
        <w:rPr/>
      </w:pPr>
      <w:r>
        <w:rPr/>
        <w:t>“</w:t>
      </w:r>
      <w:r>
        <w:rPr>
          <w:rFonts w:ascii="DejaVu Serif;serif" w:hAnsi="DejaVu Serif;serif"/>
          <w:sz w:val="15"/>
        </w:rPr>
        <w:t>mg/kg IV or IM q12 (children up to 12 years) or 20 mg/kg IV or IM once daily (children over 12 years; maximum, 1 gm/day); ceftriaxone, 100 mg/kg/day IV divided q12-24h (dosing for CNS injury); levofloxacin, 8 mg/kg IV or PO q12h”</w:t>
      </w:r>
    </w:p>
    <w:p>
      <w:pPr>
        <w:pStyle w:val="BodyText"/>
        <w:bidi w:val="0"/>
        <w:ind w:hanging="0" w:left="0" w:right="0"/>
        <w:jc w:val="left"/>
        <w:rPr/>
      </w:pPr>
      <w:r>
        <w:rPr/>
        <w:drawing>
          <wp:inline distT="0" distB="0" distL="0" distR="0">
            <wp:extent cx="6583680" cy="685800"/>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4"/>
                    <a:srcRect l="-87" t="-840" r="-87" b="-840"/>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ID83, Sepsis Management in PFC (28 Oct 2020), Antibiotic regimens: printed page </w:t>
      </w:r>
      <w:r>
        <w:rPr>
          <w:b/>
          <w:sz w:val="16"/>
        </w:rPr>
        <w:t>8</w:t>
      </w:r>
      <w:r>
        <w:rPr>
          <w:sz w:val="16"/>
        </w:rPr>
        <w:t xml:space="preserve"> (PDF page 8) · states: no number (paediatric); adult 2 g IV/IO q24h only</w:t>
      </w:r>
    </w:p>
    <w:p>
      <w:pPr>
        <w:pStyle w:val="BodyText"/>
        <w:bidi w:val="0"/>
        <w:spacing w:before="0" w:after="40"/>
        <w:ind w:hanging="0" w:left="240" w:right="0"/>
        <w:jc w:val="left"/>
        <w:rPr/>
      </w:pPr>
      <w:r>
        <w:rPr/>
        <w:t>“</w:t>
      </w:r>
      <w:r>
        <w:rPr>
          <w:rFonts w:ascii="DejaVu Serif;serif" w:hAnsi="DejaVu Serif;serif"/>
          <w:sz w:val="15"/>
        </w:rPr>
        <w:t>Best: Ceftriaxone (Rocephin) 2 gm IV/IO q24 hrs given over 30 minutes, PLUS vancomycin”</w:t>
      </w:r>
    </w:p>
    <w:p>
      <w:pPr>
        <w:pStyle w:val="BodyText"/>
        <w:bidi w:val="0"/>
        <w:ind w:hanging="0" w:left="0" w:right="0"/>
        <w:jc w:val="left"/>
        <w:rPr/>
      </w:pPr>
      <w:r>
        <w:rPr/>
        <w:drawing>
          <wp:inline distT="0" distB="0" distL="0" distR="0">
            <wp:extent cx="6583680" cy="685800"/>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5"/>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Sepsis/Fever, Treatment: printed page </w:t>
      </w:r>
      <w:r>
        <w:rPr>
          <w:b/>
          <w:sz w:val="16"/>
        </w:rPr>
        <w:t>38</w:t>
      </w:r>
      <w:r>
        <w:rPr>
          <w:sz w:val="16"/>
        </w:rPr>
        <w:t xml:space="preserve"> (PDF page 38) · states: no number (paediatric); adult protocol, 2 g IV</w:t>
      </w:r>
    </w:p>
    <w:p>
      <w:pPr>
        <w:pStyle w:val="BodyText"/>
        <w:bidi w:val="0"/>
        <w:spacing w:before="0" w:after="40"/>
        <w:ind w:hanging="0" w:left="240" w:right="0"/>
        <w:jc w:val="left"/>
        <w:rPr/>
      </w:pPr>
      <w:r>
        <w:rPr/>
        <w:t>“</w:t>
      </w:r>
      <w:r>
        <w:rPr>
          <w:rFonts w:ascii="DejaVu Serif;serif" w:hAnsi="DejaVu Serif;serif"/>
          <w:sz w:val="15"/>
        </w:rPr>
        <w:t>Consider Antibiotic Therapy Ceftriaxone 2 g slow IV push or in 100 cc NS flow to gravity (immunocompetent) or Cefepime 2 g IV in 100 cc NS flow to gravity (immunocompromised)”</w:t>
      </w:r>
    </w:p>
    <w:p>
      <w:pPr>
        <w:pStyle w:val="BodyText"/>
        <w:bidi w:val="0"/>
        <w:ind w:hanging="0" w:left="0" w:right="0"/>
        <w:jc w:val="left"/>
        <w:rPr/>
      </w:pPr>
      <w:r>
        <w:rPr/>
        <w:drawing>
          <wp:inline distT="0" distB="0" distL="0" distR="0">
            <wp:extent cx="6583680" cy="685800"/>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6"/>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Calcium Gluconate, Contraindications: printed page </w:t>
      </w:r>
      <w:r>
        <w:rPr>
          <w:b/>
          <w:sz w:val="16"/>
        </w:rPr>
        <w:t>102</w:t>
      </w:r>
      <w:r>
        <w:rPr>
          <w:sz w:val="16"/>
        </w:rPr>
        <w:t xml:space="preserve"> (PDF page 102) · states: no number; neonatal calcium-ceftriaxone precipitation caution</w:t>
      </w:r>
    </w:p>
    <w:p>
      <w:pPr>
        <w:pStyle w:val="BodyText"/>
        <w:bidi w:val="0"/>
        <w:spacing w:before="0" w:after="40"/>
        <w:ind w:hanging="0" w:left="240" w:right="0"/>
        <w:jc w:val="left"/>
        <w:rPr/>
      </w:pPr>
      <w:r>
        <w:rPr/>
        <w:t>“</w:t>
      </w:r>
      <w:r>
        <w:rPr>
          <w:rFonts w:ascii="DejaVu Serif;serif" w:hAnsi="DejaVu Serif;serif"/>
          <w:sz w:val="15"/>
        </w:rPr>
        <w:t>Concomitant use of IV calcium gluconate and ceftriaxone in neonates (risk of precipitation of calcium- ceftriaxone)”</w:t>
      </w:r>
    </w:p>
    <w:p>
      <w:pPr>
        <w:pStyle w:val="BodyText"/>
        <w:bidi w:val="0"/>
        <w:ind w:hanging="0" w:left="0" w:right="0"/>
        <w:jc w:val="left"/>
        <w:rPr/>
      </w:pPr>
      <w:r>
        <w:rPr/>
        <w:drawing>
          <wp:inline distT="0" distB="0" distL="0" distR="0">
            <wp:extent cx="6583680" cy="68580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7"/>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E13</w:t>
      </w:r>
    </w:p>
    <w:p>
      <w:pPr>
        <w:pStyle w:val="Heading2"/>
        <w:bidi w:val="0"/>
        <w:spacing w:before="40" w:after="80"/>
        <w:ind w:hanging="0" w:left="40" w:right="40"/>
        <w:jc w:val="left"/>
        <w:rPr>
          <w:sz w:val="28"/>
        </w:rPr>
      </w:pPr>
      <w:r>
        <w:rPr>
          <w:sz w:val="28"/>
        </w:rPr>
        <w:t>E13. midazolam: procedural sedation — SMOG (pacing / cardioversion)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procedural sedation — SMOG (pacing / cardioversion)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2.5–5 mg IV (SMOG p.140, as the bank entry carries it)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15–30 min PRN</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ID61 p.9 (procedural sedation): 1–4 mg IV/IO, every 30–60 min. ID61 p.12 (same CPG): non-intubated 0.5–2 mg, intubated 1–4 mg, every 5 min to goal. ID61 p.8/p.10: 1 mg (0.5–2 mg) every 1–6 hours. ID91 p.35 (PCC): 0.5–1 mg IV. SMOG p.140: 2.5-5 mg IV q 15-30 min PRN for pacing/cardioversion. SMOG's algorithm pages p.41 (pacing) and p.46 (cardioversion) say 2-5 mg. SMOG's single dose (2.5–5 mg) starts above the JTS non-intubated range and reaches above the JTS 4 mg top. SMOG's interval (15–30 min) is shorter than ID61 p.9's 30–60 min.</w:t>
      </w:r>
    </w:p>
    <w:p>
      <w:pPr>
        <w:pStyle w:val="BodyText"/>
        <w:bidi w:val="0"/>
        <w:spacing w:before="60" w:after="60"/>
        <w:ind w:hanging="0" w:left="60" w:right="60"/>
        <w:jc w:val="left"/>
        <w:rPr>
          <w:sz w:val="15"/>
        </w:rPr>
      </w:pPr>
      <w:r>
        <w:rPr>
          <w:b/>
          <w:sz w:val="15"/>
        </w:rPr>
        <w:t>Note:</w:t>
      </w:r>
      <w:r>
        <w:rPr>
          <w:sz w:val="15"/>
        </w:rPr>
        <w:t xml:space="preserve"> This entry is the SMOG side of the dose, so its proposed dose is the SMOG figure the entry carries. The JTS figure is shown first on this page as the other side. The JTS ID61 1–4 mg ketamine add-on was signed in batch 2 (2026-10-19). OWNER RULING 2026-10-19 (Andrew Azelton): not signed. The adult procedural-sedation dose is JTS ID61 p.9's 1-4 mg; SMOG p.140's 2.5-5 mg stays a documented alternate, not served. This item is the SMOG pacing/cardioversion entry. Under 'JTS first' the proposed dose is the JTS ID61 p.9 figure, and SMOG is shown as the other side. JTS ID61's setting is ketamine-based procedural sedation, not pacing or cardioversion; no JTS page gives a midazolam dose specifically for pacing or cardioversion. No maximum is stated. The SMOG p.140 and p.41 quotes interleave neighbouring column text exactly as in the layout text; on p.41 'Repeat q 3-5 minutes' is atropine's. SMOG p.46 (tachycardia, cardioversion) prints 'Midazolam 2-5mg IV / IO' and is not listed (4-source limit). SMOG p.140 cautions: no analgesic properties; give only with a stable IV and BVM ready; should not be used in shock. NASEMSO's bradycardia guideline says 'consider sedation' with no number.</w:t>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9</w:t>
      </w:r>
      <w:r>
        <w:rPr>
          <w:sz w:val="16"/>
        </w:rPr>
        <w:t xml:space="preserve"> (PDF page 9) · states: procedural sedation adjunct 1–4 mg IV/IO; repeat every 30–60 min</w:t>
      </w:r>
    </w:p>
    <w:p>
      <w:pPr>
        <w:pStyle w:val="BodyText"/>
        <w:bidi w:val="0"/>
        <w:spacing w:before="0" w:after="40"/>
        <w:ind w:hanging="0" w:left="240" w:right="0"/>
        <w:jc w:val="left"/>
        <w:rPr/>
      </w:pPr>
      <w:r>
        <w:rPr/>
        <w:t>“</w:t>
      </w:r>
      <w:r>
        <w:rPr>
          <w:rFonts w:ascii="DejaVu Serif;serif" w:hAnsi="DejaVu Serif;serif"/>
          <w:sz w:val="15"/>
        </w:rPr>
        <w:t>Step 2: Consider adding (start low, give more): • 25–100μg fentanyl IV/IO • 1–4mg midazolam IV/IO Step 3: May need to repeat doses as below if procedure lasts longer than 10–15 minutes. • Ketamine every 10–15 minutes • Fentanyl every 15–30 minutes • Midazolam every 30–60 minutes”</w:t>
      </w:r>
    </w:p>
    <w:p>
      <w:pPr>
        <w:pStyle w:val="BodyText"/>
        <w:bidi w:val="0"/>
        <w:ind w:hanging="0" w:left="0" w:right="0"/>
        <w:jc w:val="left"/>
        <w:rPr/>
      </w:pPr>
      <w:r>
        <w:rPr/>
        <w:drawing>
          <wp:inline distT="0" distB="0" distL="0" distR="0">
            <wp:extent cx="6583680" cy="34734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8"/>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12</w:t>
      </w:r>
      <w:r>
        <w:rPr>
          <w:sz w:val="16"/>
        </w:rPr>
        <w:t xml:space="preserve"> (PDF page 12) · states: Appendix D sedation: dose every 5 min to goal; non-intubated 0.5–2 mg, intubated 1–4 mg (table columns interleave)</w:t>
      </w:r>
    </w:p>
    <w:p>
      <w:pPr>
        <w:pStyle w:val="BodyText"/>
        <w:bidi w:val="0"/>
        <w:spacing w:before="0" w:after="40"/>
        <w:ind w:hanging="0" w:left="240" w:right="0"/>
        <w:jc w:val="left"/>
        <w:rPr/>
      </w:pPr>
      <w:r>
        <w:rPr/>
        <w:t>“</w:t>
      </w:r>
      <w:r>
        <w:rPr>
          <w:rFonts w:ascii="DejaVu Serif;serif" w:hAnsi="DejaVu Serif;serif"/>
          <w:sz w:val="15"/>
        </w:rPr>
        <w:t>Sedation (includes anxiety or agitation): • Respiratory/cardiac/mental status depression • Onset: 1–5 minutes IV/IO: dose every 5 minutes until goal achieved or RR &lt; • Amnestic • Duration of effect: 1–4 hours Midazolam 10/min. • Nausea/vomiting • Hepatic metabolism (active metabolites) (Versed) • Nonintubated: 0.5–2mg • Hypotension • Renal excretion • Intubated: 1–4mg”</w:t>
      </w:r>
    </w:p>
    <w:p>
      <w:pPr>
        <w:pStyle w:val="BodyText"/>
        <w:bidi w:val="0"/>
        <w:ind w:hanging="0" w:left="0" w:right="0"/>
        <w:jc w:val="left"/>
        <w:rPr/>
      </w:pPr>
      <w:r>
        <w:rPr/>
        <w:drawing>
          <wp:inline distT="0" distB="0" distL="0" distR="0">
            <wp:extent cx="6583680" cy="34734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9"/>
                    <a:srcRect l="-87" t="-1680" r="-87" b="-168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140</w:t>
      </w:r>
      <w:r>
        <w:rPr>
          <w:sz w:val="16"/>
        </w:rPr>
        <w:t xml:space="preserve"> (PDF page 140) · states: adult: pacing/cardioversion, anxiety, agitation 2.5-5 mg IV q 15-30 min PRN</w:t>
      </w:r>
    </w:p>
    <w:p>
      <w:pPr>
        <w:pStyle w:val="BodyText"/>
        <w:bidi w:val="0"/>
        <w:spacing w:before="0" w:after="40"/>
        <w:ind w:hanging="0" w:left="240" w:right="0"/>
        <w:jc w:val="left"/>
        <w:rPr/>
      </w:pPr>
      <w:r>
        <w:rPr/>
        <w:t>“</w:t>
      </w:r>
      <w:r>
        <w:rPr>
          <w:rFonts w:ascii="DejaVu Serif;serif" w:hAnsi="DejaVu Serif;serif"/>
          <w:sz w:val="15"/>
        </w:rPr>
        <w:t>Transcutaneous Pacing / IV: Cardioversion, Anxiety, Agitation. • 0.1-0.3 mg/kg IV • 2.5-5mg q 15-30 min PRN”</w:t>
      </w:r>
    </w:p>
    <w:p>
      <w:pPr>
        <w:pStyle w:val="BodyText"/>
        <w:bidi w:val="0"/>
        <w:ind w:hanging="0" w:left="0" w:right="0"/>
        <w:jc w:val="left"/>
        <w:rPr/>
      </w:pPr>
      <w:r>
        <w:rPr/>
        <w:drawing>
          <wp:inline distT="0" distB="0" distL="0" distR="0">
            <wp:extent cx="6583680" cy="34734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0"/>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41</w:t>
      </w:r>
      <w:r>
        <w:rPr>
          <w:sz w:val="16"/>
        </w:rPr>
        <w:t xml:space="preserve"> (PDF page 41) · states: bradycardia algorithm: sedation for pacing, midazolam 2-5 mg IV/IO (the 'Repeat q 3-5 minutes' belongs to the atropine column)</w:t>
      </w:r>
    </w:p>
    <w:p>
      <w:pPr>
        <w:pStyle w:val="BodyText"/>
        <w:bidi w:val="0"/>
        <w:spacing w:before="0" w:after="40"/>
        <w:ind w:hanging="0" w:left="240" w:right="0"/>
        <w:jc w:val="left"/>
        <w:rPr/>
      </w:pPr>
      <w:r>
        <w:rPr/>
        <w:t>“</w:t>
      </w:r>
      <w:r>
        <w:rPr>
          <w:rFonts w:ascii="DejaVu Serif;serif" w:hAnsi="DejaVu Serif;serif"/>
          <w:sz w:val="15"/>
        </w:rPr>
        <w:t>Midazolam 2-5mg IV / IO) Repeat q 3-5 minutes”</w:t>
      </w:r>
    </w:p>
    <w:p>
      <w:pPr>
        <w:pStyle w:val="BodyText"/>
        <w:bidi w:val="0"/>
        <w:ind w:hanging="0" w:left="0" w:right="0"/>
        <w:jc w:val="left"/>
        <w:rPr/>
      </w:pPr>
      <w:r>
        <w:rPr/>
        <w:drawing>
          <wp:inline distT="0" distB="0" distL="0" distR="0">
            <wp:extent cx="6583680" cy="34734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1"/>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E14</w:t>
      </w:r>
    </w:p>
    <w:p>
      <w:pPr>
        <w:pStyle w:val="Heading2"/>
        <w:bidi w:val="0"/>
        <w:spacing w:before="40" w:after="80"/>
        <w:ind w:hanging="0" w:left="40" w:right="40"/>
        <w:jc w:val="left"/>
        <w:rPr>
          <w:sz w:val="28"/>
        </w:rPr>
      </w:pPr>
      <w:r>
        <w:rPr>
          <w:sz w:val="28"/>
        </w:rPr>
        <w:t>E14. midazolam: sedation infusion for the ventilated patient</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sedation infusion for the ventilated patient</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0.05 mg/kg IV bolus, then 0.05–0.1 mg/kg/hr (SMOG p.140, p.12, as the bank entry carries it)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Two JTS pages disagree on the ceiling: ID29 p.25 (ICU sedation order set) gives 1-6 mg/hr, and ID12 p.24 (burn ICU order set) titrates up to 10 mg/hr. SMOG (p.140, repeated on the RSI page p.12) gives a weight-based 0.05 mg/kg bolus, then 0.05-0.1 mg/kg/hr. At 80 kg that is 4-8 mg/hr, so SMOG's ceiling sits between the two JTS ceilings, and SMOG adds a bolus that neither JTS order set gives. No source states a starting rate (both JTS order sets leave it blank) or a titration step.</w:t>
      </w:r>
    </w:p>
    <w:p>
      <w:pPr>
        <w:pStyle w:val="BodyText"/>
        <w:bidi w:val="0"/>
        <w:spacing w:before="60" w:after="60"/>
        <w:ind w:hanging="0" w:left="60" w:right="60"/>
        <w:jc w:val="left"/>
        <w:rPr>
          <w:sz w:val="15"/>
        </w:rPr>
      </w:pPr>
      <w:r>
        <w:rPr>
          <w:b/>
          <w:sz w:val="15"/>
        </w:rPr>
        <w:t>Note:</w:t>
      </w:r>
      <w:r>
        <w:rPr>
          <w:sz w:val="15"/>
        </w:rPr>
        <w:t xml:space="preserve"> This entry is the SMOG side of the dose, so its proposed dose is the SMOG figure the entry carries. The JTS figure is shown first on this page as the other side. E15 is the JTS side of the same open conflict (1–6 mg/hr, ID29). OWNER RULING 2026-10-19 (Andrew Azelton): not signed; v1.1. No source gives a start rate or a titration step. The conflict group stays open. The bank entry's drafted dose is SMOG's 0.05 mg/kg bolus, then 0.05-0.1 mg/kg/hr. Under 'JTS first' the proposal becomes JTS ID29's 1-6 mg/hr, which makes E14 and E15 propose the same figure. The SMOG side is shown in sources and conflict; the owner may want to merge E14 into E15 or keep E14 as the SMOG alternate. 'max' is blank because the two JTS pages disagree (6 vs 10 mg/hr). Cautions: ID29 p.11 says a continuous infusion 'will often result in a prolonged duration of action' and recommends intermittent sedation whenever feasible. ID61 p.5 says that in PFC only a ketamine drip should be used in most situations, with midazolam pushes. SMOG p.140 says midazolam has no analgesic properties and should not be used in shock. The Burn Care PDF (file ID12) prints 'ID:20' in its header. NASEMSO has no midazolam infusion.</w:t>
      </w:r>
    </w:p>
    <w:p>
      <w:pPr>
        <w:pStyle w:val="BodyText"/>
        <w:bidi w:val="0"/>
        <w:spacing w:before="80" w:after="20"/>
        <w:ind w:hanging="0" w:left="80" w:right="80"/>
        <w:jc w:val="left"/>
        <w:rPr>
          <w:sz w:val="16"/>
        </w:rPr>
      </w:pPr>
      <w:r>
        <w:rPr>
          <w:b/>
          <w:sz w:val="16"/>
        </w:rPr>
        <w:t>JTS</w:t>
      </w:r>
      <w:r>
        <w:rPr>
          <w:sz w:val="16"/>
        </w:rPr>
        <w:t xml:space="preserve"> · JTS CPG ID29, Pain, Anxiety and Delirium (26 Apr 2021, v1.2): printed page </w:t>
      </w:r>
      <w:r>
        <w:rPr>
          <w:b/>
          <w:sz w:val="16"/>
        </w:rPr>
        <w:t>25</w:t>
      </w:r>
      <w:r>
        <w:rPr>
          <w:sz w:val="16"/>
        </w:rPr>
        <w:t xml:space="preserve"> (PDF page 25) · states: ICU sedation order set: 1-6 mg/hr continuous, start blank; RASS -1 to 0; avoid in renal/liver dysfunction</w:t>
      </w:r>
    </w:p>
    <w:p>
      <w:pPr>
        <w:pStyle w:val="BodyText"/>
        <w:bidi w:val="0"/>
        <w:spacing w:before="0" w:after="40"/>
        <w:ind w:hanging="0" w:left="240" w:right="0"/>
        <w:jc w:val="left"/>
        <w:rPr/>
      </w:pPr>
      <w:r>
        <w:rPr/>
        <w:t>“</w:t>
      </w:r>
      <w:r>
        <w:rPr>
          <w:rFonts w:ascii="DejaVu Serif;serif" w:hAnsi="DejaVu Serif;serif"/>
          <w:sz w:val="15"/>
        </w:rPr>
        <w:t>midazolam (aka VERSED) IV infusion (avoid in renal/liver dysfunction) mg/hr (1-6 mg/hr), Intravenous, CONTINUOUS. Stop intermittent dosing if continuous infusion initiated and notify Pharmacy. Titrate sedation to RASS score of -1 to 0”</w:t>
      </w:r>
    </w:p>
    <w:p>
      <w:pPr>
        <w:pStyle w:val="BodyText"/>
        <w:bidi w:val="0"/>
        <w:ind w:hanging="0" w:left="0" w:right="0"/>
        <w:jc w:val="left"/>
        <w:rPr/>
      </w:pPr>
      <w:r>
        <w:rPr/>
        <w:drawing>
          <wp:inline distT="0" distB="0" distL="0" distR="0">
            <wp:extent cx="6583680" cy="34734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52"/>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ID12, Burn Care (10 Jun 2025) (page header prints 'ID:20'): printed page </w:t>
      </w:r>
      <w:r>
        <w:rPr>
          <w:b/>
          <w:sz w:val="16"/>
        </w:rPr>
        <w:t>24</w:t>
      </w:r>
      <w:r>
        <w:rPr>
          <w:sz w:val="16"/>
        </w:rPr>
        <w:t xml:space="preserve"> (PDF page 24) · states: burn ICU order set: start blank, titrate up to 10 mg/hr</w:t>
      </w:r>
    </w:p>
    <w:p>
      <w:pPr>
        <w:pStyle w:val="BodyText"/>
        <w:bidi w:val="0"/>
        <w:spacing w:before="0" w:after="40"/>
        <w:ind w:hanging="0" w:left="240" w:right="0"/>
        <w:jc w:val="left"/>
        <w:rPr/>
      </w:pPr>
      <w:r>
        <w:rPr/>
        <w:t>“</w:t>
      </w:r>
      <w:r>
        <w:rPr>
          <w:rFonts w:ascii="DejaVu Serif;serif" w:hAnsi="DejaVu Serif;serif"/>
          <w:sz w:val="15"/>
        </w:rPr>
        <w:t>15.5. _____Versed gtt at _____ mg/hr, titrate up to 10 mg/hr ; may give 2-5 mg IVP Q 15 minutes for acute agitation or burn wound care.”</w:t>
      </w:r>
    </w:p>
    <w:p>
      <w:pPr>
        <w:pStyle w:val="BodyText"/>
        <w:bidi w:val="0"/>
        <w:ind w:hanging="0" w:left="0" w:right="0"/>
        <w:jc w:val="left"/>
        <w:rPr/>
      </w:pPr>
      <w:r>
        <w:rPr/>
        <w:drawing>
          <wp:inline distT="0" distB="0" distL="0" distR="0">
            <wp:extent cx="6583680" cy="34734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53"/>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140</w:t>
      </w:r>
      <w:r>
        <w:rPr>
          <w:sz w:val="16"/>
        </w:rPr>
        <w:t xml:space="preserve"> (PDF page 140) · states: adult: 0.05 mg/kg IV bolus, then 0.05-0.1 mg/kg/hr (paediatric intranasal text interleaves)</w:t>
      </w:r>
    </w:p>
    <w:p>
      <w:pPr>
        <w:pStyle w:val="BodyText"/>
        <w:bidi w:val="0"/>
        <w:spacing w:before="0" w:after="40"/>
        <w:ind w:hanging="0" w:left="240" w:right="0"/>
        <w:jc w:val="left"/>
        <w:rPr/>
      </w:pPr>
      <w:r>
        <w:rPr/>
        <w:t xml:space="preserve">“• </w:t>
      </w:r>
      <w:r>
        <w:rPr>
          <w:rFonts w:ascii="DejaVu Serif;serif" w:hAnsi="DejaVu Serif;serif"/>
          <w:sz w:val="15"/>
        </w:rPr>
        <w:t>Infusion sedation 0.05 mg/kg bolus nare IV, then titrate 0.05-0.1mg/kg/hr. IV gtt”</w:t>
      </w:r>
    </w:p>
    <w:p>
      <w:pPr>
        <w:pStyle w:val="BodyText"/>
        <w:bidi w:val="0"/>
        <w:ind w:hanging="0" w:left="0" w:right="0"/>
        <w:jc w:val="left"/>
        <w:rPr/>
      </w:pPr>
      <w:r>
        <w:rPr/>
        <w:drawing>
          <wp:inline distT="0" distB="0" distL="0" distR="0">
            <wp:extent cx="6583680" cy="34734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4"/>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w:t>
      </w:r>
      <w:r>
        <w:rPr>
          <w:sz w:val="16"/>
        </w:rPr>
        <w:t xml:space="preserve"> (PDF page 12) · states: RSI post-intubation maintenance: 0.05 mg/kg bolus then 0.05-0.1 mg/kg/hr</w:t>
      </w:r>
    </w:p>
    <w:p>
      <w:pPr>
        <w:pStyle w:val="BodyText"/>
        <w:bidi w:val="0"/>
        <w:spacing w:before="0" w:after="40"/>
        <w:ind w:hanging="0" w:left="240" w:right="0"/>
        <w:jc w:val="left"/>
        <w:rPr/>
      </w:pPr>
      <w:r>
        <w:rPr/>
        <w:t>“</w:t>
      </w:r>
      <w:r>
        <w:rPr>
          <w:rFonts w:ascii="DejaVu Serif;serif" w:hAnsi="DejaVu Serif;serif"/>
          <w:sz w:val="15"/>
        </w:rPr>
        <w:t>o Midazolam 0.05 mg/kg IVP or 0.05 mg/kg bolus then 0.05-0.1mg/kg/hr.”</w:t>
      </w:r>
    </w:p>
    <w:p>
      <w:pPr>
        <w:pStyle w:val="BodyText"/>
        <w:bidi w:val="0"/>
        <w:ind w:hanging="0" w:left="0" w:right="0"/>
        <w:jc w:val="left"/>
        <w:rPr/>
      </w:pPr>
      <w:r>
        <w:rPr/>
        <w:drawing>
          <wp:inline distT="0" distB="0" distL="0" distR="0">
            <wp:extent cx="6583680" cy="34734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5"/>
                    <a:srcRect l="-113" t="-2160" r="-113" b="-2160"/>
                    <a:stretch>
                      <a:fillRect/>
                    </a:stretch>
                  </pic:blipFill>
                  <pic:spPr bwMode="auto">
                    <a:xfrm>
                      <a:off x="0" y="0"/>
                      <a:ext cx="6583680" cy="34734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E15</w:t>
      </w:r>
    </w:p>
    <w:p>
      <w:pPr>
        <w:pStyle w:val="Heading2"/>
        <w:bidi w:val="0"/>
        <w:spacing w:before="40" w:after="80"/>
        <w:ind w:hanging="0" w:left="40" w:right="40"/>
        <w:jc w:val="left"/>
        <w:rPr>
          <w:sz w:val="28"/>
        </w:rPr>
      </w:pPr>
      <w:r>
        <w:rPr>
          <w:sz w:val="28"/>
        </w:rPr>
        <w:t>E15. midazolam: sedation infusion for the ventilated patient — ICU order set (fixed rate)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sedation infusion for the ventilated patient — ICU order set (fixed rate)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1-6 mg/hr IV continuous infusion (JTS ID29 ICU order set; starting rate left blank in the source)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Two JTS pages disagree on the ceiling: ID29 p.25 (ICU sedation order set) gives 1-6 mg/hr, and ID12 p.24 (burn ICU order set) titrates up to 10 mg/hr. SMOG (p.140, repeated on the RSI page p.12) gives a weight-based 0.05 mg/kg bolus, then 0.05-0.1 mg/kg/hr. At 80 kg that is 4-8 mg/hr, so SMOG's ceiling sits between the two JTS ceilings, and SMOG adds a bolus that neither JTS order set gives. No source states a starting rate (both JTS order sets leave it blank) or a titration step.</w:t>
      </w:r>
    </w:p>
    <w:p>
      <w:pPr>
        <w:pStyle w:val="BodyText"/>
        <w:bidi w:val="0"/>
        <w:spacing w:before="60" w:after="60"/>
        <w:ind w:hanging="0" w:left="60" w:right="60"/>
        <w:jc w:val="left"/>
        <w:rPr>
          <w:sz w:val="15"/>
        </w:rPr>
      </w:pPr>
      <w:r>
        <w:rPr>
          <w:b/>
          <w:sz w:val="15"/>
        </w:rPr>
        <w:t>Note:</w:t>
      </w:r>
      <w:r>
        <w:rPr>
          <w:sz w:val="15"/>
        </w:rPr>
        <w:t xml:space="preserve"> OWNER RULING 2026-10-19 (Andrew Azelton): not signed; v1.1. No source gives a start rate or a titration step. The conflict group stays open. This is the JTS fixed-rate side of the conflict group midazolam-ventilated-infusion-adult. Its proposal matches E14's under 'JTS first'. 'max' is blank because ID29 (6 mg/hr) and ID12 (10 mg/hr) disagree. ID29's order set targets RASS -1 to 0 on p.25, while its nursing orders on p.24 say RASS -2 to -1; ID12 targets RASS 0 to -3. ID29 p.11 recommends intermittent sedation whenever feasible, because infusions accumulate. Neither order set states 'adult', but the flat mg/hr rate reads as adult. The Burn Care PDF (file ID12) prints 'ID:20' in its header. NASEMSO has no midazolam infusion.</w:t>
      </w:r>
    </w:p>
    <w:p>
      <w:pPr>
        <w:pStyle w:val="BodyText"/>
        <w:bidi w:val="0"/>
        <w:spacing w:before="80" w:after="20"/>
        <w:ind w:hanging="0" w:left="80" w:right="80"/>
        <w:jc w:val="left"/>
        <w:rPr>
          <w:sz w:val="16"/>
        </w:rPr>
      </w:pPr>
      <w:r>
        <w:rPr>
          <w:b/>
          <w:sz w:val="16"/>
        </w:rPr>
        <w:t>JTS</w:t>
      </w:r>
      <w:r>
        <w:rPr>
          <w:sz w:val="16"/>
        </w:rPr>
        <w:t xml:space="preserve"> · JTS CPG ID29, Pain, Anxiety and Delirium (26 Apr 2021, v1.2): printed page </w:t>
      </w:r>
      <w:r>
        <w:rPr>
          <w:b/>
          <w:sz w:val="16"/>
        </w:rPr>
        <w:t>25</w:t>
      </w:r>
      <w:r>
        <w:rPr>
          <w:sz w:val="16"/>
        </w:rPr>
        <w:t xml:space="preserve"> (PDF page 25) · states: ICU sedation order set: 1-6 mg/hr continuous, start blank; RASS -1 to 0; avoid in renal/liver dysfunction</w:t>
      </w:r>
    </w:p>
    <w:p>
      <w:pPr>
        <w:pStyle w:val="BodyText"/>
        <w:bidi w:val="0"/>
        <w:spacing w:before="0" w:after="40"/>
        <w:ind w:hanging="0" w:left="240" w:right="0"/>
        <w:jc w:val="left"/>
        <w:rPr/>
      </w:pPr>
      <w:r>
        <w:rPr/>
        <w:t>“</w:t>
      </w:r>
      <w:r>
        <w:rPr>
          <w:rFonts w:ascii="DejaVu Serif;serif" w:hAnsi="DejaVu Serif;serif"/>
          <w:sz w:val="15"/>
        </w:rPr>
        <w:t>midazolam (aka VERSED) IV infusion (avoid in renal/liver dysfunction) mg/hr (1-6 mg/hr), Intravenous, CONTINUOUS. Stop intermittent dosing if continuous infusion initiated and notify Pharmacy. Titrate sedation to RASS score of -1 to 0”</w:t>
      </w:r>
    </w:p>
    <w:p>
      <w:pPr>
        <w:pStyle w:val="BodyText"/>
        <w:bidi w:val="0"/>
        <w:ind w:hanging="0" w:left="0" w:right="0"/>
        <w:jc w:val="left"/>
        <w:rPr/>
      </w:pPr>
      <w:r>
        <w:rPr/>
        <w:drawing>
          <wp:inline distT="0" distB="0" distL="0" distR="0">
            <wp:extent cx="6583680" cy="48450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6"/>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ID12, Burn Care (10 Jun 2025) (page header prints 'ID:20'): printed page </w:t>
      </w:r>
      <w:r>
        <w:rPr>
          <w:b/>
          <w:sz w:val="16"/>
        </w:rPr>
        <w:t>24</w:t>
      </w:r>
      <w:r>
        <w:rPr>
          <w:sz w:val="16"/>
        </w:rPr>
        <w:t xml:space="preserve"> (PDF page 24) · states: burn ICU order set: start blank, titrate up to 10 mg/hr</w:t>
      </w:r>
    </w:p>
    <w:p>
      <w:pPr>
        <w:pStyle w:val="BodyText"/>
        <w:bidi w:val="0"/>
        <w:spacing w:before="0" w:after="40"/>
        <w:ind w:hanging="0" w:left="240" w:right="0"/>
        <w:jc w:val="left"/>
        <w:rPr/>
      </w:pPr>
      <w:r>
        <w:rPr/>
        <w:t>“</w:t>
      </w:r>
      <w:r>
        <w:rPr>
          <w:rFonts w:ascii="DejaVu Serif;serif" w:hAnsi="DejaVu Serif;serif"/>
          <w:sz w:val="15"/>
        </w:rPr>
        <w:t>15.5. _____Versed gtt at _____ mg/hr, titrate up to 10 mg/hr ; may give 2-5 mg IVP Q 15 minutes for acute agitation or burn wound care.”</w:t>
      </w:r>
    </w:p>
    <w:p>
      <w:pPr>
        <w:pStyle w:val="BodyText"/>
        <w:bidi w:val="0"/>
        <w:ind w:hanging="0" w:left="0" w:right="0"/>
        <w:jc w:val="left"/>
        <w:rPr/>
      </w:pPr>
      <w:r>
        <w:rPr/>
        <w:drawing>
          <wp:inline distT="0" distB="0" distL="0" distR="0">
            <wp:extent cx="6583680" cy="48450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7"/>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140</w:t>
      </w:r>
      <w:r>
        <w:rPr>
          <w:sz w:val="16"/>
        </w:rPr>
        <w:t xml:space="preserve"> (PDF page 140) · states: adult: 0.05 mg/kg IV bolus, then 0.05-0.1 mg/kg/hr (paediatric intranasal text interleaves)</w:t>
      </w:r>
    </w:p>
    <w:p>
      <w:pPr>
        <w:pStyle w:val="BodyText"/>
        <w:bidi w:val="0"/>
        <w:spacing w:before="0" w:after="40"/>
        <w:ind w:hanging="0" w:left="240" w:right="0"/>
        <w:jc w:val="left"/>
        <w:rPr/>
      </w:pPr>
      <w:r>
        <w:rPr/>
        <w:t xml:space="preserve">“• </w:t>
      </w:r>
      <w:r>
        <w:rPr>
          <w:rFonts w:ascii="DejaVu Serif;serif" w:hAnsi="DejaVu Serif;serif"/>
          <w:sz w:val="15"/>
        </w:rPr>
        <w:t>Infusion sedation 0.05 mg/kg bolus nare IV, then titrate 0.05-0.1mg/kg/hr. IV gtt”</w:t>
      </w:r>
    </w:p>
    <w:p>
      <w:pPr>
        <w:pStyle w:val="BodyText"/>
        <w:bidi w:val="0"/>
        <w:ind w:hanging="0" w:left="0" w:right="0"/>
        <w:jc w:val="left"/>
        <w:rPr/>
      </w:pPr>
      <w:r>
        <w:rPr/>
        <w:drawing>
          <wp:inline distT="0" distB="0" distL="0" distR="0">
            <wp:extent cx="6583680" cy="48450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8"/>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U.S. Army Aeromedical Evacuation Standard Medical Operating Guidelines (SMOG) CY24: printed page </w:t>
      </w:r>
      <w:r>
        <w:rPr>
          <w:b/>
          <w:sz w:val="16"/>
        </w:rPr>
        <w:t>12</w:t>
      </w:r>
      <w:r>
        <w:rPr>
          <w:sz w:val="16"/>
        </w:rPr>
        <w:t xml:space="preserve"> (PDF page 12) · states: RSI post-intubation maintenance: 0.05 mg/kg bolus then 0.05-0.1 mg/kg/hr</w:t>
      </w:r>
    </w:p>
    <w:p>
      <w:pPr>
        <w:pStyle w:val="BodyText"/>
        <w:bidi w:val="0"/>
        <w:spacing w:before="0" w:after="40"/>
        <w:ind w:hanging="0" w:left="240" w:right="0"/>
        <w:jc w:val="left"/>
        <w:rPr/>
      </w:pPr>
      <w:r>
        <w:rPr/>
        <w:t>“</w:t>
      </w:r>
      <w:r>
        <w:rPr>
          <w:rFonts w:ascii="DejaVu Serif;serif" w:hAnsi="DejaVu Serif;serif"/>
          <w:sz w:val="15"/>
        </w:rPr>
        <w:t>o Midazolam 0.05 mg/kg IVP or 0.05 mg/kg bolus then 0.05-0.1mg/kg/hr.”</w:t>
      </w:r>
    </w:p>
    <w:p>
      <w:pPr>
        <w:pStyle w:val="BodyText"/>
        <w:bidi w:val="0"/>
        <w:ind w:hanging="0" w:left="0" w:right="0"/>
        <w:jc w:val="left"/>
        <w:rPr/>
      </w:pPr>
      <w:r>
        <w:rPr/>
        <w:drawing>
          <wp:inline distT="0" distB="0" distL="0" distR="0">
            <wp:extent cx="6583680" cy="48450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9"/>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E16</w:t>
      </w:r>
    </w:p>
    <w:p>
      <w:pPr>
        <w:pStyle w:val="Heading2"/>
        <w:bidi w:val="0"/>
        <w:spacing w:before="40" w:after="80"/>
        <w:ind w:hanging="0" w:left="40" w:right="40"/>
        <w:jc w:val="left"/>
        <w:rPr>
          <w:sz w:val="28"/>
        </w:rPr>
      </w:pPr>
      <w:r>
        <w:rPr>
          <w:sz w:val="28"/>
        </w:rPr>
        <w:t>E16. dextrose: neonatal hypoglycaemia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dextrose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neonatal hypoglycaemia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5 mL/kg D10 IV (0.5 g/kg)</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25 g per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Three newborn figures disagree. SMOG p.105: 5 mL/kg D10 = 0.5 g/kg (max 25 g/dose). SMOG p.53: D12.5 "1/0ml/kg" IV, misprinted (1 mL/kg = 0.125 g/kg; 10 mL/kg = 1.25 g/kg). NASEMSO p.85: 2 mL/kg of 10% = 0.2 g/kg (noted only, not usable as a proposal). SMOG p.105 is 2.5 times NASEMSO.</w:t>
      </w:r>
    </w:p>
    <w:p>
      <w:pPr>
        <w:pStyle w:val="BodyText"/>
        <w:bidi w:val="0"/>
        <w:spacing w:before="60" w:after="60"/>
        <w:ind w:hanging="0" w:left="60" w:right="60"/>
        <w:jc w:val="left"/>
        <w:rPr>
          <w:sz w:val="15"/>
        </w:rPr>
      </w:pPr>
      <w:r>
        <w:rPr>
          <w:b/>
          <w:sz w:val="15"/>
        </w:rPr>
        <w:t>Note:</w:t>
      </w:r>
      <w:r>
        <w:rPr>
          <w:sz w:val="15"/>
        </w:rPr>
        <w:t xml:space="preserve"> OWNER RULING 2026-09-24 (Andrew Azelton): DEFERRED; not signed. No JTS CPG states a newborn dextrose dose (searched all JTS pages), so the proposal rests on SMOG p.105 alone. Repeat: SMOG p.105 Indications says "Hypoglycemia: Doses may be repeated in severe cases" with no interval; repeat left blank. On SMOG p.105 the quoted line runs into the adult column on its left ("10-25 g (40-100 mL of 25% solution or 20-50"), which is adult text; only "Newborns: 5ml/kg D10 (Max 25 G/dose)" is the newborn dose. The g/kg conversions are mine (D10 = 0.1 g/mL; D12.5 = 0.125 g/mL).</w:t>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Dextrose 50% monograph, Dose and Administration, Pediatric, Hypoglycemia, IV: printed page </w:t>
      </w:r>
      <w:r>
        <w:rPr>
          <w:b/>
          <w:sz w:val="16"/>
        </w:rPr>
        <w:t>105</w:t>
      </w:r>
      <w:r>
        <w:rPr>
          <w:sz w:val="16"/>
        </w:rPr>
        <w:t xml:space="preserve"> (PDF page 105) · states: 5 mL/kg D10 (0.5 g/kg), max 25 g/dose, newborns</w:t>
      </w:r>
    </w:p>
    <w:p>
      <w:pPr>
        <w:pStyle w:val="BodyText"/>
        <w:bidi w:val="0"/>
        <w:spacing w:before="0" w:after="40"/>
        <w:ind w:hanging="0" w:left="240" w:right="0"/>
        <w:jc w:val="left"/>
        <w:rPr/>
      </w:pPr>
      <w:r>
        <w:rPr/>
        <w:t>“</w:t>
      </w:r>
      <w:r>
        <w:rPr>
          <w:rFonts w:ascii="DejaVu Serif;serif" w:hAnsi="DejaVu Serif;serif"/>
          <w:sz w:val="15"/>
        </w:rPr>
        <w:t>10-25 g (40-100 mL of 25% solution or 20-50 • Newborns: 5ml/kg D10 (Max 25 G/dose)”</w:t>
      </w:r>
    </w:p>
    <w:p>
      <w:pPr>
        <w:pStyle w:val="BodyText"/>
        <w:bidi w:val="0"/>
        <w:ind w:hanging="0" w:left="0" w:right="0"/>
        <w:jc w:val="left"/>
        <w:rPr/>
      </w:pPr>
      <w:r>
        <w:rPr/>
        <w:drawing>
          <wp:inline distT="0" distB="0" distL="0" distR="0">
            <wp:extent cx="6583680" cy="648970"/>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60"/>
                    <a:srcRect l="-113" t="-1150" r="-113" b="-1150"/>
                    <a:stretch>
                      <a:fillRect/>
                    </a:stretch>
                  </pic:blipFill>
                  <pic:spPr bwMode="auto">
                    <a:xfrm>
                      <a:off x="0" y="0"/>
                      <a:ext cx="6583680" cy="6489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Newborn Care and Distress, Treatment: printed page </w:t>
      </w:r>
      <w:r>
        <w:rPr>
          <w:b/>
          <w:sz w:val="16"/>
        </w:rPr>
        <w:t>53</w:t>
      </w:r>
      <w:r>
        <w:rPr>
          <w:sz w:val="16"/>
        </w:rPr>
        <w:t xml:space="preserve"> (PDF page 53) · states: D12.5 "1/0ml/kg" IV (misprinted: 1 mL/kg = 0.125 g/kg or 10 mL/kg = 1.25 g/kg)</w:t>
      </w:r>
    </w:p>
    <w:p>
      <w:pPr>
        <w:pStyle w:val="BodyText"/>
        <w:bidi w:val="0"/>
        <w:spacing w:before="0" w:after="40"/>
        <w:ind w:hanging="0" w:left="240" w:right="0"/>
        <w:jc w:val="left"/>
        <w:rPr/>
      </w:pPr>
      <w:r>
        <w:rPr/>
        <w:t>“</w:t>
      </w:r>
      <w:r>
        <w:rPr>
          <w:rFonts w:ascii="DejaVu Serif;serif" w:hAnsi="DejaVu Serif;serif"/>
          <w:sz w:val="15"/>
        </w:rPr>
        <w:t>o Consider hypoglycemia (D12.5 1/0ml/kg IV; dilute D50 to ¼ strength or 1ml D50 in 3ml NS).”</w:t>
      </w:r>
    </w:p>
    <w:p>
      <w:pPr>
        <w:pStyle w:val="BodyText"/>
        <w:bidi w:val="0"/>
        <w:ind w:hanging="0" w:left="0" w:right="0"/>
        <w:jc w:val="left"/>
        <w:rPr/>
      </w:pPr>
      <w:r>
        <w:rPr/>
        <w:drawing>
          <wp:inline distT="0" distB="0" distL="0" distR="0">
            <wp:extent cx="6583680" cy="648970"/>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1"/>
                    <a:srcRect l="-113" t="-1150" r="-113" b="-1150"/>
                    <a:stretch>
                      <a:fillRect/>
                    </a:stretch>
                  </pic:blipFill>
                  <pic:spPr bwMode="auto">
                    <a:xfrm>
                      <a:off x="0" y="0"/>
                      <a:ext cx="6583680" cy="6489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(Mar 2022), Hypoglycemia: printed page </w:t>
      </w:r>
      <w:r>
        <w:rPr>
          <w:b/>
          <w:sz w:val="16"/>
        </w:rPr>
        <w:t>85</w:t>
      </w:r>
      <w:r>
        <w:rPr>
          <w:sz w:val="16"/>
        </w:rPr>
        <w:t xml:space="preserve"> (PDF page 85) · states: newborns 2 mL/kg of 10% (0.2 g/kg)</w:t>
      </w:r>
    </w:p>
    <w:p>
      <w:pPr>
        <w:pStyle w:val="BodyText"/>
        <w:bidi w:val="0"/>
        <w:spacing w:before="0" w:after="40"/>
        <w:ind w:hanging="0" w:left="240" w:right="0"/>
        <w:jc w:val="left"/>
        <w:rPr/>
      </w:pPr>
      <w:r>
        <w:rPr/>
        <w:t>“</w:t>
      </w:r>
      <w:r>
        <w:rPr>
          <w:rFonts w:ascii="DejaVu Serif;serif" w:hAnsi="DejaVu Serif;serif"/>
          <w:sz w:val="15"/>
        </w:rPr>
        <w:t>2. Maximum field pediatric dosing: 0.5–1 g/kg of 10–25% dextrose IV a. 2–4 mL/kg of 25% dextrose for those greater than 8 years old b. 5–10 mL/kg of 10% dextrose (newborns 2 mL/kg)”</w:t>
      </w:r>
    </w:p>
    <w:p>
      <w:pPr>
        <w:pStyle w:val="BodyText"/>
        <w:bidi w:val="0"/>
        <w:ind w:hanging="0" w:left="0" w:right="0"/>
        <w:jc w:val="left"/>
        <w:rPr/>
      </w:pPr>
      <w:r>
        <w:rPr/>
        <w:drawing>
          <wp:inline distT="0" distB="0" distL="0" distR="0">
            <wp:extent cx="6583680" cy="648970"/>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62"/>
                    <a:srcRect l="-113" t="-1150" r="-113" b="-1150"/>
                    <a:stretch>
                      <a:fillRect/>
                    </a:stretch>
                  </pic:blipFill>
                  <pic:spPr bwMode="auto">
                    <a:xfrm>
                      <a:off x="0" y="0"/>
                      <a:ext cx="6583680" cy="6489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(Mar 2022), Hypoglycemia, Notes: printed page </w:t>
      </w:r>
      <w:r>
        <w:rPr>
          <w:b/>
          <w:sz w:val="16"/>
        </w:rPr>
        <w:t>86</w:t>
      </w:r>
      <w:r>
        <w:rPr>
          <w:sz w:val="16"/>
        </w:rPr>
        <w:t xml:space="preserve"> (PDF page 86) · states: no number (dose); neonates: concentration no more than 10-12.5%</w:t>
      </w:r>
    </w:p>
    <w:p>
      <w:pPr>
        <w:pStyle w:val="BodyText"/>
        <w:bidi w:val="0"/>
        <w:spacing w:before="0" w:after="40"/>
        <w:ind w:hanging="0" w:left="240" w:right="0"/>
        <w:jc w:val="left"/>
        <w:rPr/>
      </w:pPr>
      <w:r>
        <w:rPr/>
        <w:t>“</w:t>
      </w:r>
      <w:r>
        <w:rPr>
          <w:rFonts w:ascii="DejaVu Serif;serif" w:hAnsi="DejaVu Serif;serif"/>
          <w:sz w:val="15"/>
        </w:rPr>
        <w:t>4. For neonates and infants less than 1 month of age, dextrose concentration of no more than 10– 12.5% should be used”</w:t>
      </w:r>
    </w:p>
    <w:p>
      <w:pPr>
        <w:pStyle w:val="BodyText"/>
        <w:bidi w:val="0"/>
        <w:ind w:hanging="0" w:left="0" w:right="0"/>
        <w:jc w:val="left"/>
        <w:rPr/>
      </w:pPr>
      <w:r>
        <w:rPr/>
        <w:drawing>
          <wp:inline distT="0" distB="0" distL="0" distR="0">
            <wp:extent cx="6583680" cy="648970"/>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63"/>
                    <a:srcRect l="-113" t="-1150" r="-113" b="-1150"/>
                    <a:stretch>
                      <a:fillRect/>
                    </a:stretch>
                  </pic:blipFill>
                  <pic:spPr bwMode="auto">
                    <a:xfrm>
                      <a:off x="0" y="0"/>
                      <a:ext cx="6583680" cy="64897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E17</w:t>
      </w:r>
    </w:p>
    <w:p>
      <w:pPr>
        <w:pStyle w:val="Heading2"/>
        <w:bidi w:val="0"/>
        <w:spacing w:before="40" w:after="80"/>
        <w:ind w:hanging="0" w:left="40" w:right="40"/>
        <w:jc w:val="left"/>
        <w:rPr>
          <w:sz w:val="28"/>
        </w:rPr>
      </w:pPr>
      <w:r>
        <w:rPr>
          <w:sz w:val="28"/>
        </w:rPr>
        <w:t>E17. propofol: induction of anaesthesia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propofol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induction of anaesthesia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0.5-1 mg/kg IV (reduced dose, hypotensive patients)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ID40 p.3 gives 0.5-1 mg/kg (reduced dose for hypotensive patients). SMOG p.12 and p.153 give 1-2.5 mg/kg, with no hypotension qualifier; SMOG p.153 adds "every 5-10min PRN". JTS states no standard (normotensive) induction dose, so 1-2.5 mg/kg rests on SMOG only.</w:t>
      </w:r>
    </w:p>
    <w:p>
      <w:pPr>
        <w:pStyle w:val="BodyText"/>
        <w:bidi w:val="0"/>
        <w:spacing w:before="60" w:after="60"/>
        <w:ind w:hanging="0" w:left="60" w:right="60"/>
        <w:jc w:val="left"/>
        <w:rPr>
          <w:sz w:val="15"/>
        </w:rPr>
      </w:pPr>
      <w:r>
        <w:rPr>
          <w:b/>
          <w:sz w:val="15"/>
        </w:rPr>
        <w:t>Note:</w:t>
      </w:r>
      <w:r>
        <w:rPr>
          <w:sz w:val="15"/>
        </w:rPr>
        <w:t xml:space="preserve"> Scope: the JTS figure is the reduced dose for the hypotensive trauma patient; ID40 p.2 calls propofol a standard induction agent but prints no standard dose. Owner to decide whether the entry is the hypotensive-trauma dose (JTS) or a general induction dose (SMOG only). No max is printed; repeat is only in SMOG (q5-10 min PRN). SMOG p.153 says not to use propofol in the pre-hospital trauma environment or in burn transfer patients unless directed, and that it is not preferred in burns in the first 48-72 h; ID12 p.19 says avoid propofol during burn shock; ID86 p.19 cautions on hypotension at induction. SMOG p.153 quoted line is from the adult column (the paediatric column repeats the same line). NASEMSO has no propofol.</w:t>
      </w:r>
    </w:p>
    <w:p>
      <w:pPr>
        <w:pStyle w:val="BodyText"/>
        <w:bidi w:val="0"/>
        <w:spacing w:before="80" w:after="20"/>
        <w:ind w:hanging="0" w:left="80" w:right="80"/>
        <w:jc w:val="left"/>
        <w:rPr>
          <w:sz w:val="16"/>
        </w:rPr>
      </w:pPr>
      <w:r>
        <w:rPr>
          <w:b/>
          <w:sz w:val="16"/>
        </w:rPr>
        <w:t>JTS</w:t>
      </w:r>
      <w:r>
        <w:rPr>
          <w:sz w:val="16"/>
        </w:rPr>
        <w:t xml:space="preserve"> · JTS CPG ID40, Anesthesia for Trauma Patients (05 Apr 2021), Induction of Anesthesia, item 4: printed page </w:t>
      </w:r>
      <w:r>
        <w:rPr>
          <w:b/>
          <w:sz w:val="16"/>
        </w:rPr>
        <w:t>3</w:t>
      </w:r>
      <w:r>
        <w:rPr>
          <w:sz w:val="16"/>
        </w:rPr>
        <w:t xml:space="preserve"> (PDF page 3) · states: 0.5-1 mg/kg, reduced dose in hypotensive patients</w:t>
      </w:r>
    </w:p>
    <w:p>
      <w:pPr>
        <w:pStyle w:val="BodyText"/>
        <w:bidi w:val="0"/>
        <w:spacing w:before="0" w:after="40"/>
        <w:ind w:hanging="0" w:left="240" w:right="0"/>
        <w:jc w:val="left"/>
        <w:rPr/>
      </w:pPr>
      <w:r>
        <w:rPr/>
        <w:t>“</w:t>
      </w:r>
      <w:r>
        <w:rPr>
          <w:rFonts w:ascii="DejaVu Serif;serif" w:hAnsi="DejaVu Serif;serif"/>
          <w:sz w:val="15"/>
        </w:rPr>
        <w:t>significantly. It is prudent to use reduced doses of Propofol (0.5-1 mg/kg) in hypotensive patients. Ongoing”</w:t>
      </w:r>
    </w:p>
    <w:p>
      <w:pPr>
        <w:pStyle w:val="BodyText"/>
        <w:bidi w:val="0"/>
        <w:ind w:hanging="0" w:left="0" w:right="0"/>
        <w:jc w:val="left"/>
        <w:rPr/>
      </w:pPr>
      <w:r>
        <w:rPr/>
        <w:drawing>
          <wp:inline distT="0" distB="0" distL="0" distR="0">
            <wp:extent cx="6583680" cy="960120"/>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64"/>
                    <a:srcRect l="-113" t="-778" r="-113" b="-778"/>
                    <a:stretch>
                      <a:fillRect/>
                    </a:stretch>
                  </pic:blipFill>
                  <pic:spPr bwMode="auto">
                    <a:xfrm>
                      <a:off x="0" y="0"/>
                      <a:ext cx="6583680" cy="96012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Rapid Sequence Intubation, Medications, Induction Agents: printed page </w:t>
      </w:r>
      <w:r>
        <w:rPr>
          <w:b/>
          <w:sz w:val="16"/>
        </w:rPr>
        <w:t>12</w:t>
      </w:r>
      <w:r>
        <w:rPr>
          <w:sz w:val="16"/>
        </w:rPr>
        <w:t xml:space="preserve"> (PDF page 12) · states: 1-2.5 mg/kg IV induction (RSI)</w:t>
      </w:r>
    </w:p>
    <w:p>
      <w:pPr>
        <w:pStyle w:val="BodyText"/>
        <w:bidi w:val="0"/>
        <w:spacing w:before="0" w:after="40"/>
        <w:ind w:hanging="0" w:left="240" w:right="0"/>
        <w:jc w:val="left"/>
        <w:rPr/>
      </w:pPr>
      <w:r>
        <w:rPr/>
        <w:t>“</w:t>
      </w:r>
      <w:r>
        <w:rPr>
          <w:rFonts w:ascii="DejaVu Serif;serif" w:hAnsi="DejaVu Serif;serif"/>
          <w:sz w:val="15"/>
        </w:rPr>
        <w:t>with AMS, etc. o Propofol 1-2.5 mg/kg IV”</w:t>
      </w:r>
    </w:p>
    <w:p>
      <w:pPr>
        <w:pStyle w:val="BodyText"/>
        <w:bidi w:val="0"/>
        <w:ind w:hanging="0" w:left="0" w:right="0"/>
        <w:jc w:val="left"/>
        <w:rPr/>
      </w:pPr>
      <w:r>
        <w:rPr/>
        <w:drawing>
          <wp:inline distT="0" distB="0" distL="0" distR="0">
            <wp:extent cx="6583680" cy="960120"/>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65"/>
                    <a:srcRect l="-113" t="-778" r="-113" b="-778"/>
                    <a:stretch>
                      <a:fillRect/>
                    </a:stretch>
                  </pic:blipFill>
                  <pic:spPr bwMode="auto">
                    <a:xfrm>
                      <a:off x="0" y="0"/>
                      <a:ext cx="6583680" cy="96012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Propofol monograph, Dose and Administration, Adult, Sedation/RSI, IV Push: printed page </w:t>
      </w:r>
      <w:r>
        <w:rPr>
          <w:b/>
          <w:sz w:val="16"/>
        </w:rPr>
        <w:t>153</w:t>
      </w:r>
      <w:r>
        <w:rPr>
          <w:sz w:val="16"/>
        </w:rPr>
        <w:t xml:space="preserve"> (PDF page 153) · states: 1-2.5 mg/kg IV push every 5-10 min PRN (sedation/RSI)</w:t>
      </w:r>
    </w:p>
    <w:p>
      <w:pPr>
        <w:pStyle w:val="BodyText"/>
        <w:bidi w:val="0"/>
        <w:spacing w:before="0" w:after="40"/>
        <w:ind w:hanging="0" w:left="240" w:right="0"/>
        <w:jc w:val="left"/>
        <w:rPr/>
      </w:pPr>
      <w:r>
        <w:rPr/>
        <w:t xml:space="preserve">“• </w:t>
      </w:r>
      <w:r>
        <w:rPr>
          <w:rFonts w:ascii="DejaVu Serif;serif" w:hAnsi="DejaVu Serif;serif"/>
          <w:sz w:val="15"/>
        </w:rPr>
        <w:t>1-2.5 mg/kg every 5-10min PRN. Maintenance of general anesthesia,”</w:t>
      </w:r>
    </w:p>
    <w:p>
      <w:pPr>
        <w:pStyle w:val="BodyText"/>
        <w:bidi w:val="0"/>
        <w:ind w:hanging="0" w:left="0" w:right="0"/>
        <w:jc w:val="left"/>
        <w:rPr/>
      </w:pPr>
      <w:r>
        <w:rPr/>
        <w:drawing>
          <wp:inline distT="0" distB="0" distL="0" distR="0">
            <wp:extent cx="6583680" cy="960120"/>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6"/>
                    <a:srcRect l="-113" t="-778" r="-113" b="-778"/>
                    <a:stretch>
                      <a:fillRect/>
                    </a:stretch>
                  </pic:blipFill>
                  <pic:spPr bwMode="auto">
                    <a:xfrm>
                      <a:off x="0" y="0"/>
                      <a:ext cx="6583680" cy="96012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E18</w:t>
      </w:r>
    </w:p>
    <w:p>
      <w:pPr>
        <w:pStyle w:val="Heading2"/>
        <w:bidi w:val="0"/>
        <w:spacing w:before="40" w:after="80"/>
        <w:ind w:hanging="0" w:left="40" w:right="40"/>
        <w:jc w:val="left"/>
        <w:rPr>
          <w:sz w:val="28"/>
        </w:rPr>
      </w:pPr>
      <w:r>
        <w:rPr>
          <w:sz w:val="28"/>
        </w:rPr>
        <w:t>E18. propofol: sedation infusion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propofol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sedation infusion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20-75 mcg/kg/min IV infusion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Lower bound: JTS ID30 20 vs SMOG 10 mcg/kg/min. Upper limit: ID30 range tops at 75; JTS ID12 (burns) titrates up to 50; SMOG p.153 gives MAX DOSE 100 mcg/kg/min. The two JTS pages differ from each other (75 vs 50), and both are specific to a population (TBI ICU; burn ICU).</w:t>
      </w:r>
    </w:p>
    <w:p>
      <w:pPr>
        <w:pStyle w:val="BodyText"/>
        <w:bidi w:val="0"/>
        <w:spacing w:before="60" w:after="60"/>
        <w:ind w:hanging="0" w:left="60" w:right="60"/>
        <w:jc w:val="left"/>
        <w:rPr>
          <w:sz w:val="15"/>
        </w:rPr>
      </w:pPr>
      <w:r>
        <w:rPr>
          <w:b/>
          <w:sz w:val="15"/>
        </w:rPr>
        <w:t>Note:</w:t>
      </w:r>
      <w:r>
        <w:rPr>
          <w:sz w:val="15"/>
        </w:rPr>
        <w:t xml:space="preserve"> No JTS page states a general adult sedation-infusion dose or maximum; ID30 is a TBI ICU table and ID12 a burn order set. Max left blank: JTS gives no general ceiling (ID12 50 is burn-specific; SMOG 100 is SMOG only). ID29 p.10/16 (Pain, Anxiety, Delirium) lists propofol drip as a sedation option with no dose, and ID29 p.10 says propofol only with a definitive airway. ID61 has no propofol. SMOG p.154 is a 10-75 mcg/kg/min drip chart (10 mg/mL). The SMOG p.153 box quote is printed in the adult column; the "mg/kg/hour)" in the quote is from the paediatric column of the same layout lines.</w:t>
      </w:r>
    </w:p>
    <w:p>
      <w:pPr>
        <w:pStyle w:val="BodyText"/>
        <w:bidi w:val="0"/>
        <w:spacing w:before="80" w:after="20"/>
        <w:ind w:hanging="0" w:left="80" w:right="80"/>
        <w:jc w:val="left"/>
        <w:rPr>
          <w:sz w:val="16"/>
        </w:rPr>
      </w:pPr>
      <w:r>
        <w:rPr>
          <w:b/>
          <w:sz w:val="16"/>
        </w:rPr>
        <w:t>JTS</w:t>
      </w:r>
      <w:r>
        <w:rPr>
          <w:sz w:val="16"/>
        </w:rPr>
        <w:t xml:space="preserve"> · JTS CPG ID30, TBI Management and Basic Neurosurgery in the Deployed Environment (15 Sep 2023), ICU management, Sedation: printed page </w:t>
      </w:r>
      <w:r>
        <w:rPr>
          <w:b/>
          <w:sz w:val="16"/>
        </w:rPr>
        <w:t>22</w:t>
      </w:r>
      <w:r>
        <w:rPr>
          <w:sz w:val="16"/>
        </w:rPr>
        <w:t xml:space="preserve"> (PDF page 22) · states: 20-75 mcg/kg/min, typical ICU sedation range (TBI patients), up to 72 hours</w:t>
      </w:r>
    </w:p>
    <w:p>
      <w:pPr>
        <w:pStyle w:val="BodyText"/>
        <w:bidi w:val="0"/>
        <w:spacing w:before="0" w:after="40"/>
        <w:ind w:hanging="0" w:left="240" w:right="0"/>
        <w:jc w:val="left"/>
        <w:rPr/>
      </w:pPr>
      <w:r>
        <w:rPr/>
        <w:t>“</w:t>
      </w:r>
      <w:r>
        <w:rPr>
          <w:rFonts w:ascii="DejaVu Serif;serif" w:hAnsi="DejaVu Serif;serif"/>
          <w:sz w:val="15"/>
        </w:rPr>
        <w:t>SEDATION Propofol 1st choice up to 72 hours. Other short-acting agents (Fentanyl, Versed) upon discretion of SICU or neurosurgical staff. Typical ICU Propofol sedation dose range: 20-75 mcg/kg/min.”</w:t>
      </w:r>
    </w:p>
    <w:p>
      <w:pPr>
        <w:pStyle w:val="BodyText"/>
        <w:bidi w:val="0"/>
        <w:ind w:hanging="0" w:left="0" w:right="0"/>
        <w:jc w:val="left"/>
        <w:rPr/>
      </w:pPr>
      <w:r>
        <w:rPr/>
        <w:drawing>
          <wp:inline distT="0" distB="0" distL="0" distR="0">
            <wp:extent cx="6583680" cy="585470"/>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7"/>
                    <a:srcRect l="-113" t="-1290" r="-113" b="-1290"/>
                    <a:stretch>
                      <a:fillRect/>
                    </a:stretch>
                  </pic:blipFill>
                  <pic:spPr bwMode="auto">
                    <a:xfrm>
                      <a:off x="0" y="0"/>
                      <a:ext cx="6583680" cy="5854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ID12, Burn Care (10 Jun 2025), Burn ICU admission order set, 15. Analgesia/Sedation: printed page </w:t>
      </w:r>
      <w:r>
        <w:rPr>
          <w:b/>
          <w:sz w:val="16"/>
        </w:rPr>
        <w:t>24</w:t>
      </w:r>
      <w:r>
        <w:rPr>
          <w:sz w:val="16"/>
        </w:rPr>
        <w:t xml:space="preserve"> (PDF page 24) · states: titrate up to 50 mcg/kg/min (burn ICU orders)</w:t>
      </w:r>
    </w:p>
    <w:p>
      <w:pPr>
        <w:pStyle w:val="BodyText"/>
        <w:bidi w:val="0"/>
        <w:spacing w:before="0" w:after="40"/>
        <w:ind w:hanging="0" w:left="240" w:right="0"/>
        <w:jc w:val="left"/>
        <w:rPr/>
      </w:pPr>
      <w:r>
        <w:rPr/>
        <w:t>“</w:t>
      </w:r>
      <w:r>
        <w:rPr>
          <w:rFonts w:ascii="DejaVu Serif;serif" w:hAnsi="DejaVu Serif;serif"/>
          <w:sz w:val="15"/>
        </w:rPr>
        <w:t>15.2. _____Propofol gtt at _____ mcg/kg/min, titrate up to 50 mcg/kg/min.”</w:t>
      </w:r>
    </w:p>
    <w:p>
      <w:pPr>
        <w:pStyle w:val="BodyText"/>
        <w:bidi w:val="0"/>
        <w:ind w:hanging="0" w:left="0" w:right="0"/>
        <w:jc w:val="left"/>
        <w:rPr/>
      </w:pPr>
      <w:r>
        <w:rPr/>
        <w:drawing>
          <wp:inline distT="0" distB="0" distL="0" distR="0">
            <wp:extent cx="6583680" cy="585470"/>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8"/>
                    <a:srcRect l="-113" t="-1290" r="-113" b="-1290"/>
                    <a:stretch>
                      <a:fillRect/>
                    </a:stretch>
                  </pic:blipFill>
                  <pic:spPr bwMode="auto">
                    <a:xfrm>
                      <a:off x="0" y="0"/>
                      <a:ext cx="6583680" cy="5854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Rapid Sequence Intubation, Medications, Maintenance: printed page </w:t>
      </w:r>
      <w:r>
        <w:rPr>
          <w:b/>
          <w:sz w:val="16"/>
        </w:rPr>
        <w:t>12</w:t>
      </w:r>
      <w:r>
        <w:rPr>
          <w:sz w:val="16"/>
        </w:rPr>
        <w:t xml:space="preserve"> (PDF page 12) · states: 10-75 mcg/kg/min post-intubation maintenance</w:t>
      </w:r>
    </w:p>
    <w:p>
      <w:pPr>
        <w:pStyle w:val="BodyText"/>
        <w:bidi w:val="0"/>
        <w:spacing w:before="0" w:after="40"/>
        <w:ind w:hanging="0" w:left="240" w:right="0"/>
        <w:jc w:val="left"/>
        <w:rPr/>
      </w:pPr>
      <w:r>
        <w:rPr/>
        <w:t>“</w:t>
      </w:r>
      <w:r>
        <w:rPr>
          <w:rFonts w:ascii="DejaVu Serif;serif" w:hAnsi="DejaVu Serif;serif"/>
          <w:sz w:val="15"/>
        </w:rPr>
        <w:t>o Propofol 10-75 mcg/kg/min”</w:t>
      </w:r>
    </w:p>
    <w:p>
      <w:pPr>
        <w:pStyle w:val="BodyText"/>
        <w:bidi w:val="0"/>
        <w:ind w:hanging="0" w:left="0" w:right="0"/>
        <w:jc w:val="left"/>
        <w:rPr/>
      </w:pPr>
      <w:r>
        <w:rPr/>
        <w:drawing>
          <wp:inline distT="0" distB="0" distL="0" distR="0">
            <wp:extent cx="6583680" cy="585470"/>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9"/>
                    <a:srcRect l="-113" t="-1290" r="-113" b="-1290"/>
                    <a:stretch>
                      <a:fillRect/>
                    </a:stretch>
                  </pic:blipFill>
                  <pic:spPr bwMode="auto">
                    <a:xfrm>
                      <a:off x="0" y="0"/>
                      <a:ext cx="6583680" cy="58547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Propofol monograph, Adult, Maintenance of general anesthesia, IV Infusion: printed page </w:t>
      </w:r>
      <w:r>
        <w:rPr>
          <w:b/>
          <w:sz w:val="16"/>
        </w:rPr>
        <w:t>153</w:t>
      </w:r>
      <w:r>
        <w:rPr>
          <w:sz w:val="16"/>
        </w:rPr>
        <w:t xml:space="preserve"> (PDF page 153) · states: 10-75 mcg/kg/min, max 100 mcg/kg/min</w:t>
      </w:r>
    </w:p>
    <w:p>
      <w:pPr>
        <w:pStyle w:val="BodyText"/>
        <w:bidi w:val="0"/>
        <w:spacing w:before="0" w:after="40"/>
        <w:ind w:hanging="0" w:left="240" w:right="0"/>
        <w:jc w:val="left"/>
        <w:rPr/>
      </w:pPr>
      <w:r>
        <w:rPr/>
        <w:t xml:space="preserve">“• </w:t>
      </w:r>
      <w:r>
        <w:rPr>
          <w:rFonts w:ascii="DejaVu Serif;serif" w:hAnsi="DejaVu Serif;serif"/>
          <w:sz w:val="15"/>
        </w:rPr>
        <w:t>10-75 mcg/kg/min via infusion pump or Dial-a- mg/kg/hour) Drip. Titrate to minimum effective dose. (See infusion chart next page) o MAX DOSE: 100 mcg/kg/min.”</w:t>
      </w:r>
    </w:p>
    <w:p>
      <w:pPr>
        <w:pStyle w:val="BodyText"/>
        <w:bidi w:val="0"/>
        <w:ind w:hanging="0" w:left="0" w:right="0"/>
        <w:jc w:val="left"/>
        <w:rPr/>
      </w:pPr>
      <w:r>
        <w:rPr/>
        <w:drawing>
          <wp:inline distT="0" distB="0" distL="0" distR="0">
            <wp:extent cx="6583680" cy="585470"/>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70"/>
                    <a:srcRect l="-113" t="-1290" r="-113" b="-1290"/>
                    <a:stretch>
                      <a:fillRect/>
                    </a:stretch>
                  </pic:blipFill>
                  <pic:spPr bwMode="auto">
                    <a:xfrm>
                      <a:off x="0" y="0"/>
                      <a:ext cx="6583680" cy="58547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E19</w:t>
      </w:r>
    </w:p>
    <w:p>
      <w:pPr>
        <w:pStyle w:val="Heading2"/>
        <w:bidi w:val="0"/>
        <w:spacing w:before="40" w:after="80"/>
        <w:ind w:hanging="0" w:left="40" w:right="40"/>
        <w:jc w:val="left"/>
        <w:rPr>
          <w:sz w:val="28"/>
        </w:rPr>
      </w:pPr>
      <w:r>
        <w:rPr>
          <w:sz w:val="28"/>
        </w:rPr>
        <w:t>E19. calcium gluconate: hypocalcaemia after massive transfusion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calcium gluconate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hypocalcaemia after massive transfusion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 g calcium IV/IO (salt not named by JTS) during or immediately after the first unit of blood product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after every 4 units of blood product; ideally guided by ionized calcium (give for iCa &lt; 1.2 mmol/L)</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(ID18 p.9, ID73 p.8; also ID40 p.4, ID82 p.12) says 1 g of calcium without naming the salt. SMOG p.16 and p.102 give calcium gluconate as 30 mL of 10% (3 g), or calcium chloride 10 mL of 10% (1 g; SMOG p.101). If the JTS 1 g is read as calcium gluconate, it is one third of the SMOG gluconate dose; read as chloride, it matches SMOG. Ionized-calcium trigger also differs: JTS &lt; 1.2 mmol/L (ID18 p.9, ID73 p.9) vs SMOG &lt; 1 mmol/L (p.16).</w:t>
      </w:r>
    </w:p>
    <w:p>
      <w:pPr>
        <w:pStyle w:val="BodyText"/>
        <w:bidi w:val="0"/>
        <w:spacing w:before="60" w:after="60"/>
        <w:ind w:hanging="0" w:left="60" w:right="60"/>
        <w:jc w:val="left"/>
        <w:rPr>
          <w:sz w:val="15"/>
        </w:rPr>
      </w:pPr>
      <w:r>
        <w:rPr>
          <w:b/>
          <w:sz w:val="15"/>
        </w:rPr>
        <w:t>Note:</w:t>
      </w:r>
      <w:r>
        <w:rPr>
          <w:sz w:val="15"/>
        </w:rPr>
        <w:t xml:space="preserve"> The bank entry is calcium gluconate, but no JTS page gives a calcium-gluconate dose for transfusion: JTS writes "1 g calcium" (ID18 Jun 2023 rapid update: "Calcium administration changed to 1 gram calcium"). ID18 p.9 and ID73 p.9 add that calcium gluconate is safer for peripheral use. Owner must decide the salt before this can be signed. Max: none printed for adults (SMOG p.102 paediatric max 30 mL is paediatric). ID58 p.5/10/11 and SMOG p.23 (crush syndrome) give 10 mL of 10% calcium gluconate or chloride, but for hyperkalaemia, not transfusion; not used. NASEMSO gives no dose for this indication.</w:t>
      </w:r>
    </w:p>
    <w:p>
      <w:pPr>
        <w:pStyle w:val="BodyText"/>
        <w:bidi w:val="0"/>
        <w:spacing w:before="80" w:after="20"/>
        <w:ind w:hanging="0" w:left="80" w:right="80"/>
        <w:jc w:val="left"/>
        <w:rPr>
          <w:sz w:val="16"/>
        </w:rPr>
      </w:pPr>
      <w:r>
        <w:rPr>
          <w:b/>
          <w:sz w:val="16"/>
        </w:rPr>
        <w:t>JTS</w:t>
      </w:r>
      <w:r>
        <w:rPr>
          <w:sz w:val="16"/>
        </w:rPr>
        <w:t xml:space="preserve"> · JTS CPG ID18, Damage Control Resuscitation (12 Jul 2019), Hypocalcemia: printed page </w:t>
      </w:r>
      <w:r>
        <w:rPr>
          <w:b/>
          <w:sz w:val="16"/>
        </w:rPr>
        <w:t>9</w:t>
      </w:r>
      <w:r>
        <w:rPr>
          <w:sz w:val="16"/>
        </w:rPr>
        <w:t xml:space="preserve"> (PDF page 9) · states: 1 g calcium IV/IO after 1st unit, then after every 4 units; give for iCa &lt; 1.2 mmol/L</w:t>
      </w:r>
    </w:p>
    <w:p>
      <w:pPr>
        <w:pStyle w:val="BodyText"/>
        <w:bidi w:val="0"/>
        <w:spacing w:before="0" w:after="40"/>
        <w:ind w:hanging="0" w:left="240" w:right="0"/>
        <w:jc w:val="left"/>
        <w:rPr/>
      </w:pPr>
      <w:r>
        <w:rPr/>
        <w:t>“</w:t>
      </w:r>
      <w:r>
        <w:rPr>
          <w:rFonts w:ascii="DejaVu Serif;serif" w:hAnsi="DejaVu Serif;serif"/>
          <w:sz w:val="15"/>
        </w:rPr>
        <w:t>values (&lt;0.9mmol/l). One gram of calcium IV/IO should be given to patients in hemorrhagic shock during or immediately after transfusion of the first unit of blood product and with ongoing resuscitation after every 4”</w:t>
      </w:r>
    </w:p>
    <w:p>
      <w:pPr>
        <w:pStyle w:val="BodyText"/>
        <w:bidi w:val="0"/>
        <w:ind w:hanging="0" w:left="0" w:right="0"/>
        <w:jc w:val="left"/>
        <w:rPr/>
      </w:pPr>
      <w:r>
        <w:rPr/>
        <w:drawing>
          <wp:inline distT="0" distB="0" distL="0" distR="0">
            <wp:extent cx="6583680" cy="511810"/>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71"/>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ID73, Damage Control Resuscitation in PFC (01 Oct 2018), Calcium: printed page </w:t>
      </w:r>
      <w:r>
        <w:rPr>
          <w:b/>
          <w:sz w:val="16"/>
        </w:rPr>
        <w:t>8</w:t>
      </w:r>
      <w:r>
        <w:rPr>
          <w:sz w:val="16"/>
        </w:rPr>
        <w:t xml:space="preserve"> (PDF page 8) · states: 1 g calcium IV/IO after 1st unit (Minimum), additional 1 g after every 4 units (Better)</w:t>
      </w:r>
    </w:p>
    <w:p>
      <w:pPr>
        <w:pStyle w:val="BodyText"/>
        <w:bidi w:val="0"/>
        <w:spacing w:before="0" w:after="40"/>
        <w:ind w:hanging="0" w:left="240" w:right="0"/>
        <w:jc w:val="left"/>
        <w:rPr/>
      </w:pPr>
      <w:r>
        <w:rPr/>
        <w:t>“</w:t>
      </w:r>
      <w:r>
        <w:rPr>
          <w:rFonts w:ascii="DejaVu Serif;serif" w:hAnsi="DejaVu Serif;serif"/>
          <w:sz w:val="15"/>
        </w:rPr>
        <w:t>Better: With ongoing resuscitation, give additional 1g of calcium after every four units of blood product.”</w:t>
      </w:r>
    </w:p>
    <w:p>
      <w:pPr>
        <w:pStyle w:val="BodyText"/>
        <w:bidi w:val="0"/>
        <w:ind w:hanging="0" w:left="0" w:right="0"/>
        <w:jc w:val="left"/>
        <w:rPr/>
      </w:pPr>
      <w:r>
        <w:rPr/>
        <w:drawing>
          <wp:inline distT="0" distB="0" distL="0" distR="0">
            <wp:extent cx="6583680" cy="511810"/>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72"/>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Blood and Component Use, Treatment: printed page </w:t>
      </w:r>
      <w:r>
        <w:rPr>
          <w:b/>
          <w:sz w:val="16"/>
        </w:rPr>
        <w:t>16</w:t>
      </w:r>
      <w:r>
        <w:rPr>
          <w:sz w:val="16"/>
        </w:rPr>
        <w:t xml:space="preserve"> (PDF page 16) · states: 30 mL 10% calcium gluconate (3 g) or 10 mL 10% calcium chloride (1 g), after 1st unit and every 4 units; give for iCa &lt; 1 mmol/L</w:t>
      </w:r>
    </w:p>
    <w:p>
      <w:pPr>
        <w:pStyle w:val="BodyText"/>
        <w:bidi w:val="0"/>
        <w:spacing w:before="0" w:after="40"/>
        <w:ind w:hanging="0" w:left="240" w:right="0"/>
        <w:jc w:val="left"/>
        <w:rPr/>
      </w:pPr>
      <w:r>
        <w:rPr/>
        <w:t>“</w:t>
      </w:r>
      <w:r>
        <w:rPr>
          <w:rFonts w:ascii="DejaVu Serif;serif" w:hAnsi="DejaVu Serif;serif"/>
          <w:sz w:val="15"/>
        </w:rPr>
        <w:t>30mL of 10% Calcium Gluconate or 10mL of 10% Calcium Chloride IV/IO should be given to patients in hemorrhagic shock during or immediately after transfusion of the first unit of blood product and with”</w:t>
      </w:r>
    </w:p>
    <w:p>
      <w:pPr>
        <w:pStyle w:val="BodyText"/>
        <w:bidi w:val="0"/>
        <w:ind w:hanging="0" w:left="0" w:right="0"/>
        <w:jc w:val="left"/>
        <w:rPr/>
      </w:pPr>
      <w:r>
        <w:rPr/>
        <w:drawing>
          <wp:inline distT="0" distB="0" distL="0" distR="0">
            <wp:extent cx="6583680" cy="511810"/>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73"/>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(U.S. Army Aeromedical Evacuation Standard Medical Operating Guidelines), Calcium Gluconate monograph, Adult, Hypocalcemia prophylaxis from massive transfusion: printed page </w:t>
      </w:r>
      <w:r>
        <w:rPr>
          <w:b/>
          <w:sz w:val="16"/>
        </w:rPr>
        <w:t>102</w:t>
      </w:r>
      <w:r>
        <w:rPr>
          <w:sz w:val="16"/>
        </w:rPr>
        <w:t xml:space="preserve"> (PDF page 102) · states: 30 mL of 10% calcium gluconate (3 g) over 5 minutes</w:t>
      </w:r>
    </w:p>
    <w:p>
      <w:pPr>
        <w:pStyle w:val="BodyText"/>
        <w:bidi w:val="0"/>
        <w:spacing w:before="0" w:after="40"/>
        <w:ind w:hanging="0" w:left="240" w:right="0"/>
        <w:jc w:val="left"/>
        <w:rPr/>
      </w:pPr>
      <w:r>
        <w:rPr/>
        <w:t>“</w:t>
      </w:r>
      <w:r>
        <w:rPr>
          <w:rFonts w:ascii="DejaVu Serif;serif" w:hAnsi="DejaVu Serif;serif"/>
          <w:sz w:val="15"/>
        </w:rPr>
        <w:t>Hypocalcemia prophylaxis from massive transfusion Hypocalcemia prophylaxis from massive transfusion 30mL of 10% solution over 5 minutes”</w:t>
      </w:r>
    </w:p>
    <w:p>
      <w:pPr>
        <w:pStyle w:val="BodyText"/>
        <w:bidi w:val="0"/>
        <w:ind w:hanging="0" w:left="0" w:right="0"/>
        <w:jc w:val="left"/>
        <w:rPr/>
      </w:pPr>
      <w:r>
        <w:rPr/>
        <w:drawing>
          <wp:inline distT="0" distB="0" distL="0" distR="0">
            <wp:extent cx="6583680" cy="511810"/>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74"/>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E20</w:t>
      </w:r>
    </w:p>
    <w:p>
      <w:pPr>
        <w:pStyle w:val="Heading2"/>
        <w:bidi w:val="0"/>
        <w:spacing w:before="40" w:after="80"/>
        <w:ind w:hanging="0" w:left="40" w:right="40"/>
        <w:jc w:val="left"/>
        <w:rPr>
          <w:sz w:val="28"/>
        </w:rPr>
      </w:pPr>
      <w:r>
        <w:rPr>
          <w:sz w:val="28"/>
        </w:rPr>
        <w:t>E20. naloxone: opioid-induced respiratory depression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naloxone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opioid-induced respiratory depression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0.4-2 mg IN (adult)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to exceed 10 mg</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2-3 minutes PRN</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ID61 p.13 gives 0.4-2 mg for all routes including IN. ID69 Part 1 p.13 gives 2 mg IM or IN, and ID69 Part 2 p.21 a 2-4 mg starting dose with escalation (4, 8, 16 mg on p.22), both for opioid incapacitating/synthetic agents in CBRN. NASEMSO (noted only) allows up to 4 mg IN in adults. ID61's "not to exceed 10mg (0.01mg/kg)" is internally inconsistent: 0.01 mg/kg is not 10 mg for any adult weight.</w:t>
      </w:r>
    </w:p>
    <w:p>
      <w:pPr>
        <w:pStyle w:val="BodyText"/>
        <w:bidi w:val="0"/>
        <w:spacing w:before="60" w:after="60"/>
        <w:ind w:hanging="0" w:left="60" w:right="60"/>
        <w:jc w:val="left"/>
        <w:rPr>
          <w:sz w:val="15"/>
        </w:rPr>
      </w:pPr>
      <w:r>
        <w:rPr>
          <w:b/>
          <w:sz w:val="15"/>
        </w:rPr>
        <w:t>Note:</w:t>
      </w:r>
      <w:r>
        <w:rPr>
          <w:sz w:val="15"/>
        </w:rPr>
        <w:t xml:space="preserve"> Population is adult|peds, but no JTS or SMOG page states a paediatric IN naloxone dose: the paediatric half has no number (SMOG p.39, p.47, p.49, p.143 give 0.1 mg/kg IV/IM/SubQ only; NASEMSO p.304 gives 0.1 mg/kg IN, max 4 mg, noted only). Consider splitting the entry, or retiring the paediatric part. SMOG never lists IN (p.143: IV, IM, SubQ 0.4-2 mg q2-3 min; p.39: 0.4-2 mg IV/IO). ID91 p.34 gives 0.4-2 mg IV/IM/IO (no IN). The ID61 max line, on the line after the box, reads "not to exceed 10mg (0.01mg/kg)". ID61 is a 2017 PFC guideline. Behavioral Health CPG p.88 lists naloxone nasal spray 4 mg as a formulary item only (no dose instruction).</w:t>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PFC (11 May 2017), Recommended Pain and Sedation Medication, Naloxone: printed page </w:t>
      </w:r>
      <w:r>
        <w:rPr>
          <w:b/>
          <w:sz w:val="16"/>
        </w:rPr>
        <w:t>13</w:t>
      </w:r>
      <w:r>
        <w:rPr>
          <w:sz w:val="16"/>
        </w:rPr>
        <w:t xml:space="preserve"> (PDF page 13) · states: 0.4-2 mg IV/IM/SC/IN, repeat q2-3 min PRN, not to exceed 10 mg (0.01 mg/kg)</w:t>
      </w:r>
    </w:p>
    <w:p>
      <w:pPr>
        <w:pStyle w:val="BodyText"/>
        <w:bidi w:val="0"/>
        <w:spacing w:before="0" w:after="40"/>
        <w:ind w:hanging="0" w:left="240" w:right="0"/>
        <w:jc w:val="left"/>
        <w:rPr/>
      </w:pPr>
      <w:r>
        <w:rPr/>
        <w:t xml:space="preserve">“• </w:t>
      </w:r>
      <w:r>
        <w:rPr>
          <w:rFonts w:ascii="DejaVu Serif;serif" w:hAnsi="DejaVu Serif;serif"/>
          <w:sz w:val="15"/>
        </w:rPr>
        <w:t>0.4–2mg IV/IM/SC/IN; repeat every 2–3 minutes PRN;”</w:t>
      </w:r>
    </w:p>
    <w:p>
      <w:pPr>
        <w:pStyle w:val="BodyText"/>
        <w:bidi w:val="0"/>
        <w:ind w:hanging="0" w:left="0" w:right="0"/>
        <w:jc w:val="left"/>
        <w:rPr/>
      </w:pPr>
      <w:r>
        <w:rPr/>
        <w:drawing>
          <wp:inline distT="0" distB="0" distL="0" distR="0">
            <wp:extent cx="6583680" cy="48450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75"/>
                    <a:srcRect l="-87" t="-1203" r="-87" b="-1203"/>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ID69, CBRN Injury Part 1: Initial Response (01 May 2018), Hot zone care: printed page </w:t>
      </w:r>
      <w:r>
        <w:rPr>
          <w:b/>
          <w:sz w:val="16"/>
        </w:rPr>
        <w:t>13</w:t>
      </w:r>
      <w:r>
        <w:rPr>
          <w:sz w:val="16"/>
        </w:rPr>
        <w:t xml:space="preserve"> (PDF page 13) · states: 2 mg IM or IN (opioid incapacitating agents, CBRN hot zone)</w:t>
      </w:r>
    </w:p>
    <w:p>
      <w:pPr>
        <w:pStyle w:val="BodyText"/>
        <w:bidi w:val="0"/>
        <w:spacing w:before="0" w:after="40"/>
        <w:ind w:hanging="0" w:left="240" w:right="0"/>
        <w:jc w:val="left"/>
        <w:rPr/>
      </w:pPr>
      <w:r>
        <w:rPr/>
        <w:t>“</w:t>
      </w:r>
      <w:r>
        <w:rPr>
          <w:rFonts w:ascii="DejaVu Serif;serif" w:hAnsi="DejaVu Serif;serif"/>
          <w:sz w:val="15"/>
        </w:rPr>
        <w:t>ongoing threat in the hot zone location. Naloxone 2 mg intramuscular or intranasal for opioid incapacitating agents may also be considered for life-threatening respiratory depression.”</w:t>
      </w:r>
    </w:p>
    <w:p>
      <w:pPr>
        <w:pStyle w:val="BodyText"/>
        <w:bidi w:val="0"/>
        <w:ind w:hanging="0" w:left="0" w:right="0"/>
        <w:jc w:val="left"/>
        <w:rPr/>
      </w:pPr>
      <w:r>
        <w:rPr/>
        <w:drawing>
          <wp:inline distT="0" distB="0" distL="0" distR="0">
            <wp:extent cx="6583680" cy="48450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6"/>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ID69, CBRN Part 2: Medical Management of Chemical Agent Exposure (25 Mar 2022), Sedating Agents: printed page </w:t>
      </w:r>
      <w:r>
        <w:rPr>
          <w:b/>
          <w:sz w:val="16"/>
        </w:rPr>
        <w:t>21</w:t>
      </w:r>
      <w:r>
        <w:rPr>
          <w:sz w:val="16"/>
        </w:rPr>
        <w:t xml:space="preserve"> (PDF page 21) · states: 2-4 mg starting dose (synthetic opioid agents); route of the starting dose not stated</w:t>
      </w:r>
    </w:p>
    <w:p>
      <w:pPr>
        <w:pStyle w:val="BodyText"/>
        <w:bidi w:val="0"/>
        <w:spacing w:before="0" w:after="40"/>
        <w:ind w:hanging="0" w:left="240" w:right="0"/>
        <w:jc w:val="left"/>
        <w:rPr/>
      </w:pPr>
      <w:r>
        <w:rPr/>
        <w:t>“</w:t>
      </w:r>
      <w:r>
        <w:rPr>
          <w:rFonts w:ascii="DejaVu Serif;serif" w:hAnsi="DejaVu Serif;serif"/>
          <w:sz w:val="15"/>
        </w:rPr>
        <w:t>suppression. Nasal naloxone can be rapidly administered without IV access. Naloxone should be titrated to effect. A starting dose of 2-4 mg is appropriate but much higher doses may be required to reverse the”</w:t>
      </w:r>
    </w:p>
    <w:p>
      <w:pPr>
        <w:pStyle w:val="BodyText"/>
        <w:bidi w:val="0"/>
        <w:ind w:hanging="0" w:left="0" w:right="0"/>
        <w:jc w:val="left"/>
        <w:rPr/>
      </w:pPr>
      <w:r>
        <w:rPr/>
        <w:drawing>
          <wp:inline distT="0" distB="0" distL="0" distR="0">
            <wp:extent cx="6583680" cy="48450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7"/>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(Mar 2022), Opioid Poisoning/Overdose: printed page </w:t>
      </w:r>
      <w:r>
        <w:rPr>
          <w:b/>
          <w:sz w:val="16"/>
        </w:rPr>
        <w:t>304</w:t>
      </w:r>
      <w:r>
        <w:rPr>
          <w:sz w:val="16"/>
        </w:rPr>
        <w:t xml:space="preserve"> (PDF page 304) · states: adult up to 4 mg IN; paediatric 0.1 mg/kg IN, max 4 mg IN</w:t>
      </w:r>
    </w:p>
    <w:p>
      <w:pPr>
        <w:pStyle w:val="BodyText"/>
        <w:bidi w:val="0"/>
        <w:spacing w:before="0" w:after="40"/>
        <w:ind w:hanging="0" w:left="240" w:right="0"/>
        <w:jc w:val="left"/>
        <w:rPr/>
      </w:pPr>
      <w:r>
        <w:rPr/>
        <w:t>“</w:t>
      </w:r>
      <w:r>
        <w:rPr>
          <w:rFonts w:ascii="DejaVu Serif;serif" w:hAnsi="DejaVu Serif;serif"/>
          <w:sz w:val="15"/>
        </w:rPr>
        <w:t>a. Adults: The typical initial adult dose ranges between 0.4–2 mg IV, IM, up to a dose of 4 mg IN or 5 mg ETT b. Pediatrics: The pediatric dose of naloxone is 0.1 mg/kg IV, IM, IN, or ETT i. Maximum dose of 2 mg IV, IM, or ETT ii. Maximum dose of 4 mg IN”</w:t>
      </w:r>
    </w:p>
    <w:p>
      <w:pPr>
        <w:pStyle w:val="BodyText"/>
        <w:bidi w:val="0"/>
        <w:ind w:hanging="0" w:left="0" w:right="0"/>
        <w:jc w:val="left"/>
        <w:rPr/>
      </w:pPr>
      <w:r>
        <w:rPr/>
        <w:drawing>
          <wp:inline distT="0" distB="0" distL="0" distR="0">
            <wp:extent cx="6583680" cy="48450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8"/>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E21</w:t>
      </w:r>
    </w:p>
    <w:p>
      <w:pPr>
        <w:pStyle w:val="Heading2"/>
        <w:bidi w:val="0"/>
        <w:spacing w:before="40" w:after="80"/>
        <w:ind w:hanging="0" w:left="40" w:right="40"/>
        <w:jc w:val="left"/>
        <w:rPr>
          <w:sz w:val="28"/>
        </w:rPr>
      </w:pPr>
      <w:r>
        <w:rPr>
          <w:sz w:val="28"/>
        </w:rPr>
        <w:t>E21. phytomenadione: warfarin reversal</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phytomenadione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warfarin reversal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10 mg IV, given with 4-factor PCC</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Single JTS source. The Stroke CPG has no CPG ID number on the page (header reads "03 July 2024"). Context is reversal of warfarin with elevated INR in stroke/intracranial haemorrhage; the same 10 mg appears for INR 4-6 and INR &gt;6 lines, and with FFP if PCC unavailable (no dose stated there). No max or repeat is printed. ID18 p.7 mentions warfarin reversal with PCC but no vitamin K dose. ID33 (Nutrition) p.17 "Phytonadione 10mg every Monday" is a TPN additive, not reversal. SMOG has no vitamin K. NASEMSO has no vitamin K.</w:t>
      </w:r>
    </w:p>
    <w:p>
      <w:pPr>
        <w:pStyle w:val="BodyText"/>
        <w:bidi w:val="0"/>
        <w:spacing w:before="80" w:after="20"/>
        <w:ind w:hanging="0" w:left="80" w:right="80"/>
        <w:jc w:val="left"/>
        <w:rPr>
          <w:sz w:val="16"/>
        </w:rPr>
      </w:pPr>
      <w:r>
        <w:rPr>
          <w:b/>
          <w:sz w:val="16"/>
        </w:rPr>
        <w:t>JTS</w:t>
      </w:r>
      <w:r>
        <w:rPr>
          <w:sz w:val="16"/>
        </w:rPr>
        <w:t xml:space="preserve"> · JTS CPG, Management of Stroke and Cerebrovascular Emergencies in the Deployed Setting (03 Jul 2024), Appendix C: Recommended Agents for Reversal of Coagulopathy: printed page </w:t>
      </w:r>
      <w:r>
        <w:rPr>
          <w:b/>
          <w:sz w:val="16"/>
        </w:rPr>
        <w:t>12</w:t>
      </w:r>
      <w:r>
        <w:rPr>
          <w:sz w:val="16"/>
        </w:rPr>
        <w:t xml:space="preserve"> (PDF page 12) · states: 10 mg vitamin K IV with 4F-PCC, at every INR band (2-4, 4-6, &gt;6)</w:t>
      </w:r>
    </w:p>
    <w:p>
      <w:pPr>
        <w:pStyle w:val="BodyText"/>
        <w:bidi w:val="0"/>
        <w:spacing w:before="0" w:after="40"/>
        <w:ind w:hanging="0" w:left="240" w:right="0"/>
        <w:jc w:val="left"/>
        <w:rPr/>
      </w:pPr>
      <w:r>
        <w:rPr/>
        <w:t>“</w:t>
      </w:r>
      <w:r>
        <w:rPr>
          <w:rFonts w:ascii="DejaVu Serif;serif" w:hAnsi="DejaVu Serif;serif"/>
          <w:sz w:val="15"/>
        </w:rPr>
        <w:t>Warfarin with elevated INR: 4 factor Prothrombin Complex Concentrate (PCC) (Kcentra®) + IV vitamin K • INR 2-4: 25 units/kg IV + 10 mg of Vitamin K IV”</w:t>
      </w:r>
    </w:p>
    <w:p>
      <w:pPr>
        <w:pStyle w:val="BodyText"/>
        <w:bidi w:val="0"/>
        <w:ind w:hanging="0" w:left="0" w:right="0"/>
        <w:jc w:val="left"/>
        <w:rPr/>
      </w:pPr>
      <w:r>
        <w:rPr/>
        <w:drawing>
          <wp:inline distT="0" distB="0" distL="0" distR="0">
            <wp:extent cx="6583680" cy="2377440"/>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9"/>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E22</w:t>
      </w:r>
    </w:p>
    <w:p>
      <w:pPr>
        <w:pStyle w:val="Heading2"/>
        <w:bidi w:val="0"/>
        <w:spacing w:before="40" w:after="80"/>
        <w:ind w:hanging="0" w:left="40" w:right="40"/>
        <w:jc w:val="left"/>
        <w:rPr>
          <w:sz w:val="28"/>
        </w:rPr>
      </w:pPr>
      <w:r>
        <w:rPr>
          <w:sz w:val="28"/>
        </w:rPr>
        <w:t>E22. phytomenadione: haemorrhagic disease of the newborn —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phytomenadione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haemorrhagic disease of the newborn —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IM</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No JTS CPG, SMOG page or NASEMSO page mentions newborn vitamin K prophylaxis. SMOG p.53 (Newborn Care and Distress) has no vitamin K. The only phytonadione/vitamin K numbers in the corpus are the adult warfarin reversal (Stroke CPG p.12) and a TPN additive (ID33 p.17-18). Any newborn IM dose would come from WHO or another source, which cannot be used for a proposal.</w:t>
      </w:r>
    </w:p>
    <w:p>
      <w:pPr>
        <w:pStyle w:val="BodyText"/>
        <w:bidi w:val="0"/>
        <w:spacing w:before="80" w:after="20"/>
        <w:ind w:hanging="0" w:left="80" w:right="80"/>
        <w:jc w:val="left"/>
        <w:rPr>
          <w:sz w:val="16"/>
        </w:rPr>
      </w:pPr>
      <w:r>
        <w:rPr>
          <w:b/>
          <w:sz w:val="16"/>
        </w:rPr>
        <w:t>JTS</w:t>
      </w:r>
      <w:r>
        <w:rPr>
          <w:sz w:val="16"/>
        </w:rPr>
        <w:t xml:space="preserve"> · JTS CPG, Management of Stroke and Cerebrovascular Emergencies in the Deployed Setting (03 Jul 2024), Appendix C: Recommended Agents for Reversal of Coagulopathy: printed page </w:t>
      </w:r>
      <w:r>
        <w:rPr>
          <w:b/>
          <w:sz w:val="16"/>
        </w:rPr>
        <w:t>12</w:t>
      </w:r>
      <w:r>
        <w:rPr>
          <w:sz w:val="16"/>
        </w:rPr>
        <w:t xml:space="preserve"> (PDF page 12) · states: no number (newborn); the only vitamin K dose in JTS is 10 mg IV for adult warfarin reversal</w:t>
      </w:r>
    </w:p>
    <w:p>
      <w:pPr>
        <w:pStyle w:val="BodyText"/>
        <w:bidi w:val="0"/>
        <w:spacing w:before="0" w:after="40"/>
        <w:ind w:hanging="0" w:left="240" w:right="0"/>
        <w:jc w:val="left"/>
        <w:rPr/>
      </w:pPr>
      <w:r>
        <w:rPr/>
        <w:t>“</w:t>
      </w:r>
      <w:r>
        <w:rPr>
          <w:rFonts w:ascii="DejaVu Serif;serif" w:hAnsi="DejaVu Serif;serif"/>
          <w:sz w:val="15"/>
        </w:rPr>
        <w:t>Warfarin with elevated INR: 4 factor Prothrombin Complex Concentrate (PCC) (Kcentra®) + IV vitamin K”</w:t>
      </w:r>
    </w:p>
    <w:p>
      <w:pPr>
        <w:pStyle w:val="BodyText"/>
        <w:bidi w:val="0"/>
        <w:ind w:hanging="0" w:left="0" w:right="0"/>
        <w:jc w:val="left"/>
        <w:rPr/>
      </w:pPr>
      <w:r>
        <w:rPr/>
        <w:drawing>
          <wp:inline distT="0" distB="0" distL="0" distR="0">
            <wp:extent cx="6583680" cy="2377440"/>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80"/>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E23</w:t>
      </w:r>
    </w:p>
    <w:p>
      <w:pPr>
        <w:pStyle w:val="Heading2"/>
        <w:bidi w:val="0"/>
        <w:spacing w:before="40" w:after="80"/>
        <w:ind w:hanging="0" w:left="40" w:right="40"/>
        <w:jc w:val="left"/>
        <w:rPr>
          <w:sz w:val="28"/>
        </w:rPr>
      </w:pPr>
      <w:r>
        <w:rPr>
          <w:sz w:val="28"/>
        </w:rPr>
        <w:t>E23. artesunate: severe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artesunate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artesunate 2.4 mg/kg IV/IO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at 0, 12, 24 and 48 hours (4 doses), then 3 days of oral Malarone or Coartem</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ID83 p.8 gives IV artesunate 2.4 mg/kg IV/IO at 0, 12, 24, 48 h for severe malaria (defined on the page). The page and the whole ID83 CPG state no population (the CPG never mentions adults or children); it is a PFC CPG for military casualties, so it is taken as adult. No max single dose stated. Page NOTE 1: artesunate bought in tropical countries may not meet FDA standards; telemedicine and medevac should be started for severe malaria.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artesunate 2.4 mg/kg IV/IO at 0, 12, 24 and 48 h (4 doses); no population stated</w:t>
      </w:r>
    </w:p>
    <w:p>
      <w:pPr>
        <w:pStyle w:val="BodyText"/>
        <w:bidi w:val="0"/>
        <w:spacing w:before="0" w:after="40"/>
        <w:ind w:hanging="0" w:left="240" w:right="0"/>
        <w:jc w:val="left"/>
        <w:rPr/>
      </w:pPr>
      <w:r>
        <w:rPr/>
        <w:t>“</w:t>
      </w:r>
      <w:r>
        <w:rPr>
          <w:rFonts w:ascii="DejaVu Serif;serif" w:hAnsi="DejaVu Serif;serif"/>
          <w:sz w:val="15"/>
        </w:rPr>
        <w:t>Severe Malaria: The optimal treatment for severe malaria (defined as malaria with associated findings such as altered mental status, acidosis with lactate &gt;5 mmol/L, prostration, hypoglycemia, parasitemia &gt;10%, hemoglobin &lt;7 g/dL, creatinine &gt;3 mg/dL, pulmonary edema, shock, or pathologic bleeding), the drug of choice is IV artesunate 2.4 mg/kg IV/IO at 0, 12, 24, and 48 hours (4 doses), followed by 3 days of either Malarone (4 tablets PO, for 3 days) or”</w:t>
      </w:r>
    </w:p>
    <w:p>
      <w:pPr>
        <w:pStyle w:val="BodyText"/>
        <w:bidi w:val="0"/>
        <w:ind w:hanging="0" w:left="0" w:right="0"/>
        <w:jc w:val="left"/>
        <w:rPr/>
      </w:pPr>
      <w:r>
        <w:rPr/>
        <w:drawing>
          <wp:inline distT="0" distB="0" distL="0" distR="0">
            <wp:extent cx="6583680" cy="143573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81"/>
                    <a:srcRect l="-113" t="-519" r="-113" b="-519"/>
                    <a:stretch>
                      <a:fillRect/>
                    </a:stretch>
                  </pic:blipFill>
                  <pic:spPr bwMode="auto">
                    <a:xfrm>
                      <a:off x="0" y="0"/>
                      <a:ext cx="6583680" cy="143573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26</w:t>
      </w:r>
      <w:r>
        <w:rPr>
          <w:sz w:val="16"/>
        </w:rPr>
        <w:t xml:space="preserve"> (PDF page 26) · states: no number (names IV artesunate for severe malaria only)</w:t>
      </w:r>
    </w:p>
    <w:p>
      <w:pPr>
        <w:pStyle w:val="BodyText"/>
        <w:bidi w:val="0"/>
        <w:spacing w:before="0" w:after="40"/>
        <w:ind w:hanging="0" w:left="240" w:right="0"/>
        <w:jc w:val="left"/>
        <w:rPr/>
      </w:pPr>
      <w:r>
        <w:rPr/>
        <w:t>“</w:t>
      </w:r>
      <w:r>
        <w:rPr>
          <w:rFonts w:ascii="DejaVu Serif;serif" w:hAnsi="DejaVu Serif;serif"/>
          <w:sz w:val="15"/>
        </w:rPr>
        <w:t>Severe Malaria: Artesunate IV”</w:t>
      </w:r>
    </w:p>
    <w:p>
      <w:pPr>
        <w:pStyle w:val="BodyText"/>
        <w:bidi w:val="0"/>
        <w:ind w:hanging="0" w:left="0" w:right="0"/>
        <w:jc w:val="left"/>
        <w:rPr/>
      </w:pPr>
      <w:r>
        <w:rPr/>
        <w:drawing>
          <wp:inline distT="0" distB="0" distL="0" distR="0">
            <wp:extent cx="6583680" cy="143573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82"/>
                    <a:srcRect l="-87" t="-401" r="-87" b="-401"/>
                    <a:stretch>
                      <a:fillRect/>
                    </a:stretch>
                  </pic:blipFill>
                  <pic:spPr bwMode="auto">
                    <a:xfrm>
                      <a:off x="0" y="0"/>
                      <a:ext cx="6583680" cy="143573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E24</w:t>
      </w:r>
    </w:p>
    <w:p>
      <w:pPr>
        <w:pStyle w:val="Heading2"/>
        <w:bidi w:val="0"/>
        <w:spacing w:before="40" w:after="80"/>
        <w:ind w:hanging="0" w:left="40" w:right="40"/>
        <w:jc w:val="left"/>
        <w:rPr>
          <w:sz w:val="28"/>
        </w:rPr>
      </w:pPr>
      <w:r>
        <w:rPr>
          <w:sz w:val="28"/>
        </w:rPr>
        <w:t>E24. artesunate: severe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artesunate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2.4 mg/kg IV/IO at 0, 12, 24 and 48 h (JTS ID83 p.8)</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0, 12, 24, 48 h</w:t>
            </w:r>
          </w:p>
        </w:tc>
      </w:tr>
    </w:tbl>
    <w:p>
      <w:pPr>
        <w:pStyle w:val="BodyText"/>
        <w:bidi w:val="0"/>
        <w:spacing w:before="60" w:after="60"/>
        <w:ind w:hanging="0" w:left="60" w:right="60"/>
        <w:jc w:val="left"/>
        <w:rPr>
          <w:sz w:val="15"/>
        </w:rPr>
      </w:pPr>
      <w:r>
        <w:rPr>
          <w:b/>
          <w:sz w:val="15"/>
        </w:rPr>
        <w:t>Note:</w:t>
      </w:r>
      <w:r>
        <w:rPr>
          <w:sz w:val="15"/>
        </w:rPr>
        <w:t xml:space="preserve"> Not pre-marked RETIRE: ID83 p.8 states a weight-based number. It names no population, and the CPG is written for military casualties, so whether it covers children is the owner's call.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ID83 p.8 gives a weight-based dose (2.4 mg/kg) but does not state that it applies to children; the ID83 CPG never mentions children or paediatric patients. Under the population rule this gives no paediatric number.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2.4 mg/kg IV/IO at 0, 12, 24, 48 h; no population stated on the page or in the CPG</w:t>
      </w:r>
    </w:p>
    <w:p>
      <w:pPr>
        <w:pStyle w:val="BodyText"/>
        <w:bidi w:val="0"/>
        <w:spacing w:before="0" w:after="40"/>
        <w:ind w:hanging="0" w:left="240" w:right="0"/>
        <w:jc w:val="left"/>
        <w:rPr/>
      </w:pPr>
      <w:r>
        <w:rPr/>
        <w:t>“</w:t>
      </w:r>
      <w:r>
        <w:rPr>
          <w:rFonts w:ascii="DejaVu Serif;serif" w:hAnsi="DejaVu Serif;serif"/>
          <w:sz w:val="15"/>
        </w:rPr>
        <w:t>Severe Malaria: The optimal treatment for severe malaria (defined as malaria with associated findings such as altered mental status, acidosis with lactate &gt;5 mmol/L, prostration, hypoglycemia, parasitemia &gt;10%, hemoglobin &lt;7 g/dL, creatinine &gt;3 mg/dL, pulmonary edema, shock, or pathologic bleeding), the drug of choice is IV artesunate 2.4 mg/kg IV/IO at 0, 12, 24, and 48 hours (4 doses), followed by 3 days of either Malarone (4 tablets PO, for 3 days) or”</w:t>
      </w:r>
    </w:p>
    <w:p>
      <w:pPr>
        <w:pStyle w:val="BodyText"/>
        <w:bidi w:val="0"/>
        <w:ind w:hanging="0" w:left="0" w:right="0"/>
        <w:jc w:val="left"/>
        <w:rPr/>
      </w:pPr>
      <w:r>
        <w:rPr/>
        <w:drawing>
          <wp:inline distT="0" distB="0" distL="0" distR="0">
            <wp:extent cx="6583680" cy="2377440"/>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83"/>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E25</w:t>
      </w:r>
    </w:p>
    <w:p>
      <w:pPr>
        <w:pStyle w:val="Heading2"/>
        <w:bidi w:val="0"/>
        <w:spacing w:before="40" w:after="80"/>
        <w:ind w:hanging="0" w:left="40" w:right="40"/>
        <w:jc w:val="left"/>
        <w:rPr>
          <w:sz w:val="28"/>
        </w:rPr>
      </w:pPr>
      <w:r>
        <w:rPr>
          <w:sz w:val="28"/>
        </w:rPr>
        <w:t>E25. artesunate: severe malaria — pre-referral only</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artesunate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 — pre-referral only</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No JTS or SMOG page mentions rectal artesunate or pre-referral treatment.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no number for PR: the only artesunate dose is IV/IO</w:t>
      </w:r>
    </w:p>
    <w:p>
      <w:pPr>
        <w:pStyle w:val="BodyText"/>
        <w:bidi w:val="0"/>
        <w:spacing w:before="0" w:after="40"/>
        <w:ind w:hanging="0" w:left="240" w:right="0"/>
        <w:jc w:val="left"/>
        <w:rPr/>
      </w:pPr>
      <w:r>
        <w:rPr/>
        <w:t>“</w:t>
      </w:r>
      <w:r>
        <w:rPr>
          <w:rFonts w:ascii="DejaVu Serif;serif" w:hAnsi="DejaVu Serif;serif"/>
          <w:sz w:val="15"/>
        </w:rPr>
        <w:t>Severe Malaria: The optimal treatment for severe malaria (defined as malaria with associated findings such as altered mental status, acidosis with lactate &gt;5 mmol/L, prostration, hypoglycemia, parasitemia &gt;10%, hemoglobin &lt;7 g/dL, creatinine &gt;3 mg/dL, pulmonary edema, shock, or pathologic bleeding), the drug of choice is IV artesunate 2.4 mg/kg IV/IO at 0, 12, 24, and 48 hours (4 doses), followed by 3 days of either Malarone (4 tablets PO, for 3 days) or”</w:t>
      </w:r>
    </w:p>
    <w:p>
      <w:pPr>
        <w:pStyle w:val="BodyText"/>
        <w:bidi w:val="0"/>
        <w:ind w:hanging="0" w:left="0" w:right="0"/>
        <w:jc w:val="left"/>
        <w:rPr/>
      </w:pPr>
      <w:r>
        <w:rPr/>
        <w:drawing>
          <wp:inline distT="0" distB="0" distL="0" distR="0">
            <wp:extent cx="6583680" cy="2377440"/>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84"/>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E26</w:t>
      </w:r>
    </w:p>
    <w:p>
      <w:pPr>
        <w:pStyle w:val="Heading2"/>
        <w:bidi w:val="0"/>
        <w:spacing w:before="40" w:after="80"/>
        <w:ind w:hanging="0" w:left="40" w:right="40"/>
        <w:jc w:val="left"/>
        <w:rPr>
          <w:sz w:val="28"/>
        </w:rPr>
      </w:pPr>
      <w:r>
        <w:rPr>
          <w:sz w:val="28"/>
        </w:rPr>
        <w:t>E26. artemether: severe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artemether</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IM</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No JTS or SMOG page mentions IM artemether.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no number for IM artemether: artemether appears only in oral artemether/lumefantrine (Coartem)</w:t>
      </w:r>
    </w:p>
    <w:p>
      <w:pPr>
        <w:pStyle w:val="BodyText"/>
        <w:bidi w:val="0"/>
        <w:spacing w:before="0" w:after="40"/>
        <w:ind w:hanging="0" w:left="240" w:right="0"/>
        <w:jc w:val="left"/>
        <w:rPr/>
      </w:pPr>
      <w:r>
        <w:rPr/>
        <w:t>“</w:t>
      </w:r>
      <w:r>
        <w:rPr>
          <w:rFonts w:ascii="DejaVu Serif;serif" w:hAnsi="DejaVu Serif;serif"/>
          <w:sz w:val="15"/>
        </w:rPr>
        <w:t>Best: Artemether/lumafantrine (Coartem) 4 tablets PO initially, then 4 tablets after 8 hours, then 4 tablets PO twice daily for 2 more days (24 tablets total).”</w:t>
      </w:r>
    </w:p>
    <w:p>
      <w:pPr>
        <w:pStyle w:val="BodyText"/>
        <w:bidi w:val="0"/>
        <w:ind w:hanging="0" w:left="0" w:right="0"/>
        <w:jc w:val="left"/>
        <w:rPr/>
      </w:pPr>
      <w:r>
        <w:rPr/>
        <w:drawing>
          <wp:inline distT="0" distB="0" distL="0" distR="0">
            <wp:extent cx="6583680" cy="2377440"/>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85"/>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E27</w:t>
      </w:r>
    </w:p>
    <w:p>
      <w:pPr>
        <w:pStyle w:val="Heading2"/>
        <w:bidi w:val="0"/>
        <w:spacing w:before="40" w:after="80"/>
        <w:ind w:hanging="0" w:left="40" w:right="40"/>
        <w:jc w:val="left"/>
        <w:rPr>
          <w:sz w:val="28"/>
        </w:rPr>
      </w:pPr>
      <w:r>
        <w:rPr>
          <w:sz w:val="28"/>
        </w:rPr>
        <w:t>E27. artemether + lumefantrine: uncomplicated P. falciparum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artemether + lumefantrine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uncomplicated P. falciparum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artemether/lumefantrine (Coartem) 4 tablets PO, then 4 tablets after 8 hours, then 4 tablets PO twice daily for 2 more days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24 tablets total</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8 h after first dose, then twice daily for 2 more days</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ID83 p.8 and ID91 p.40 give the same 24-tablet Coartem course (ID83 spells it 'lumafantrine'). Neither states the tablet strength (mg artemether/lumefantrine per tablet) or a population; the CPGs are for military casualties, so taken as adult. Context: antiparasitic regimen for sepsis in a malaria-endemic area (positive test or empiric), and as the oral step-down after IV artesunate; the pages do not say 'uncomplicated P. falciparum'. The ID91 quote is the first layout line only; the course continues on the next line ('after 8 hours, then 4 tablets PO twice daily for 2 more days (24 tablets total)'). The same pages give atovaquone/proguanil (Malarone) 4 tablets PO daily for 3 days as the 'Minimum' option.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4 tablets PO, then 4 tablets at 8 h, then 4 tablets BID for 2 more days (24 tablets total); tablet strength and population not stated</w:t>
      </w:r>
    </w:p>
    <w:p>
      <w:pPr>
        <w:pStyle w:val="BodyText"/>
        <w:bidi w:val="0"/>
        <w:spacing w:before="0" w:after="40"/>
        <w:ind w:hanging="0" w:left="240" w:right="0"/>
        <w:jc w:val="left"/>
        <w:rPr/>
      </w:pPr>
      <w:r>
        <w:rPr/>
        <w:t>“</w:t>
      </w:r>
      <w:r>
        <w:rPr>
          <w:rFonts w:ascii="DejaVu Serif;serif" w:hAnsi="DejaVu Serif;serif"/>
          <w:sz w:val="15"/>
        </w:rPr>
        <w:t>Best: Artemether/lumafantrine (Coartem) 4 tablets PO initially, then 4 tablets after 8 hours, then 4 tablets PO twice daily for 2 more days (24 tablets total).”</w:t>
      </w:r>
    </w:p>
    <w:p>
      <w:pPr>
        <w:pStyle w:val="BodyText"/>
        <w:bidi w:val="0"/>
        <w:ind w:hanging="0" w:left="0" w:right="0"/>
        <w:jc w:val="left"/>
        <w:rPr/>
      </w:pPr>
      <w:r>
        <w:rPr/>
        <w:drawing>
          <wp:inline distT="0" distB="0" distL="0" distR="0">
            <wp:extent cx="6583680" cy="731520"/>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6"/>
                    <a:srcRect l="-113" t="-1028" r="-113" b="-1028"/>
                    <a:stretch>
                      <a:fillRect/>
                    </a:stretch>
                  </pic:blipFill>
                  <pic:spPr bwMode="auto">
                    <a:xfrm>
                      <a:off x="0" y="0"/>
                      <a:ext cx="6583680" cy="73152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40</w:t>
      </w:r>
      <w:r>
        <w:rPr>
          <w:sz w:val="16"/>
        </w:rPr>
        <w:t xml:space="preserve"> (PDF page 40) · states: 4 tablets PO initially, then 4 tablets (continuation on next layout line: after 8 hours, then 4 tablets PO twice daily for 2 more days, 24 total)</w:t>
      </w:r>
    </w:p>
    <w:p>
      <w:pPr>
        <w:pStyle w:val="BodyText"/>
        <w:bidi w:val="0"/>
        <w:spacing w:before="0" w:after="40"/>
        <w:ind w:hanging="0" w:left="240" w:right="0"/>
        <w:jc w:val="left"/>
        <w:rPr/>
      </w:pPr>
      <w:r>
        <w:rPr/>
        <w:t>“</w:t>
      </w:r>
      <w:r>
        <w:rPr>
          <w:rFonts w:ascii="DejaVu Serif;serif" w:hAnsi="DejaVu Serif;serif"/>
          <w:sz w:val="15"/>
        </w:rPr>
        <w:t>Better/Best - Artemether/lumefantrine (Coartem) 4 tablets PO initially, then 4 tablets”</w:t>
      </w:r>
    </w:p>
    <w:p>
      <w:pPr>
        <w:pStyle w:val="BodyText"/>
        <w:bidi w:val="0"/>
        <w:ind w:hanging="0" w:left="0" w:right="0"/>
        <w:jc w:val="left"/>
        <w:rPr/>
      </w:pPr>
      <w:r>
        <w:rPr/>
        <w:drawing>
          <wp:inline distT="0" distB="0" distL="0" distR="0">
            <wp:extent cx="6583680" cy="731520"/>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7"/>
                    <a:srcRect l="-113" t="-1028" r="-113" b="-1028"/>
                    <a:stretch>
                      <a:fillRect/>
                    </a:stretch>
                  </pic:blipFill>
                  <pic:spPr bwMode="auto">
                    <a:xfrm>
                      <a:off x="0" y="0"/>
                      <a:ext cx="6583680" cy="73152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same 24-tablet course as step-down after IV artesunate</w:t>
      </w:r>
    </w:p>
    <w:p>
      <w:pPr>
        <w:pStyle w:val="BodyText"/>
        <w:bidi w:val="0"/>
        <w:spacing w:before="0" w:after="40"/>
        <w:ind w:hanging="0" w:left="240" w:right="0"/>
        <w:jc w:val="left"/>
        <w:rPr/>
      </w:pPr>
      <w:r>
        <w:rPr/>
        <w:t>“</w:t>
      </w:r>
      <w:r>
        <w:rPr>
          <w:rFonts w:ascii="DejaVu Serif;serif" w:hAnsi="DejaVu Serif;serif"/>
          <w:sz w:val="15"/>
        </w:rPr>
        <w:t>Coartem (4 tablets initial dose, followed by 4 tablets given 8 hours later, followed by 4 tablets twice daily for the next 2 days; 24 total tablets).”</w:t>
      </w:r>
    </w:p>
    <w:p>
      <w:pPr>
        <w:pStyle w:val="BodyText"/>
        <w:bidi w:val="0"/>
        <w:ind w:hanging="0" w:left="0" w:right="0"/>
        <w:jc w:val="left"/>
        <w:rPr/>
      </w:pPr>
      <w:r>
        <w:rPr/>
        <w:drawing>
          <wp:inline distT="0" distB="0" distL="0" distR="0">
            <wp:extent cx="6583680" cy="731520"/>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8"/>
                    <a:srcRect l="-113" t="-1028" r="-113" b="-1028"/>
                    <a:stretch>
                      <a:fillRect/>
                    </a:stretch>
                  </pic:blipFill>
                  <pic:spPr bwMode="auto">
                    <a:xfrm>
                      <a:off x="0" y="0"/>
                      <a:ext cx="6583680" cy="73152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E28</w:t>
      </w:r>
    </w:p>
    <w:p>
      <w:pPr>
        <w:pStyle w:val="Heading2"/>
        <w:bidi w:val="0"/>
        <w:spacing w:before="40" w:after="80"/>
        <w:ind w:hanging="0" w:left="40" w:right="40"/>
        <w:jc w:val="left"/>
        <w:rPr>
          <w:sz w:val="28"/>
        </w:rPr>
      </w:pPr>
      <w:r>
        <w:rPr>
          <w:sz w:val="28"/>
        </w:rPr>
        <w:t>E28. artemether + lumefantrine: uncomplicated P. falciparum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artemether + lumefantrine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uncomplicated P. falciparum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The JTS course is a fixed 4-tablet adult regimen with no weight bands and no mention of children.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8</w:t>
      </w:r>
      <w:r>
        <w:rPr>
          <w:sz w:val="16"/>
        </w:rPr>
        <w:t xml:space="preserve"> (PDF page 8) · states: no number for children: adult fixed 4-tablet course; no paediatric weight band stated</w:t>
      </w:r>
    </w:p>
    <w:p>
      <w:pPr>
        <w:pStyle w:val="BodyText"/>
        <w:bidi w:val="0"/>
        <w:spacing w:before="0" w:after="40"/>
        <w:ind w:hanging="0" w:left="240" w:right="0"/>
        <w:jc w:val="left"/>
        <w:rPr/>
      </w:pPr>
      <w:r>
        <w:rPr/>
        <w:t>“</w:t>
      </w:r>
      <w:r>
        <w:rPr>
          <w:rFonts w:ascii="DejaVu Serif;serif" w:hAnsi="DejaVu Serif;serif"/>
          <w:sz w:val="15"/>
        </w:rPr>
        <w:t>Best: Artemether/lumafantrine (Coartem) 4 tablets PO initially, then 4 tablets after 8 hours, then 4 tablets PO twice daily for 2 more days (24 tablets total).”</w:t>
      </w:r>
    </w:p>
    <w:p>
      <w:pPr>
        <w:pStyle w:val="BodyText"/>
        <w:bidi w:val="0"/>
        <w:ind w:hanging="0" w:left="0" w:right="0"/>
        <w:jc w:val="left"/>
        <w:rPr/>
      </w:pPr>
      <w:r>
        <w:rPr/>
        <w:drawing>
          <wp:inline distT="0" distB="0" distL="0" distR="0">
            <wp:extent cx="6583680" cy="1783080"/>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9"/>
                    <a:srcRect l="-113" t="-418" r="-113" b="-418"/>
                    <a:stretch>
                      <a:fillRect/>
                    </a:stretch>
                  </pic:blipFill>
                  <pic:spPr bwMode="auto">
                    <a:xfrm>
                      <a:off x="0" y="0"/>
                      <a:ext cx="6583680" cy="178308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40</w:t>
      </w:r>
      <w:r>
        <w:rPr>
          <w:sz w:val="16"/>
        </w:rPr>
        <w:t xml:space="preserve"> (PDF page 40) · states: no number for children: fixed 4-tablet course; no paediatric weight band stated</w:t>
      </w:r>
    </w:p>
    <w:p>
      <w:pPr>
        <w:pStyle w:val="BodyText"/>
        <w:bidi w:val="0"/>
        <w:spacing w:before="0" w:after="40"/>
        <w:ind w:hanging="0" w:left="240" w:right="0"/>
        <w:jc w:val="left"/>
        <w:rPr/>
      </w:pPr>
      <w:r>
        <w:rPr/>
        <w:t>“</w:t>
      </w:r>
      <w:r>
        <w:rPr>
          <w:rFonts w:ascii="DejaVu Serif;serif" w:hAnsi="DejaVu Serif;serif"/>
          <w:sz w:val="15"/>
        </w:rPr>
        <w:t>Better/Best - Artemether/lumefantrine (Coartem) 4 tablets PO initially, then 4 tablets”</w:t>
      </w:r>
    </w:p>
    <w:p>
      <w:pPr>
        <w:pStyle w:val="BodyText"/>
        <w:bidi w:val="0"/>
        <w:ind w:hanging="0" w:left="0" w:right="0"/>
        <w:jc w:val="left"/>
        <w:rPr/>
      </w:pPr>
      <w:r>
        <w:rPr/>
        <w:drawing>
          <wp:inline distT="0" distB="0" distL="0" distR="0">
            <wp:extent cx="6583680" cy="1783080"/>
            <wp:effectExtent l="0" t="0" r="0" b="0"/>
            <wp:docPr id="89"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pic:cNvPicPr>
                      <a:picLocks noChangeAspect="1" noChangeArrowheads="1"/>
                    </pic:cNvPicPr>
                  </pic:nvPicPr>
                  <pic:blipFill>
                    <a:blip r:embed="rId90"/>
                    <a:srcRect l="-113" t="-418" r="-113" b="-418"/>
                    <a:stretch>
                      <a:fillRect/>
                    </a:stretch>
                  </pic:blipFill>
                  <pic:spPr bwMode="auto">
                    <a:xfrm>
                      <a:off x="0" y="0"/>
                      <a:ext cx="6583680" cy="178308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E29</w:t>
      </w:r>
    </w:p>
    <w:p>
      <w:pPr>
        <w:pStyle w:val="Heading2"/>
        <w:bidi w:val="0"/>
        <w:spacing w:before="40" w:after="80"/>
        <w:ind w:hanging="0" w:left="40" w:right="40"/>
        <w:jc w:val="left"/>
        <w:rPr>
          <w:sz w:val="28"/>
        </w:rPr>
      </w:pPr>
      <w:r>
        <w:rPr>
          <w:sz w:val="28"/>
        </w:rPr>
        <w:t>E29. quinine: severe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quinine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No JTS or SMOG page mentions quinine for malaria; the only related term is quinidine, as a drug that potentiates neuromuscular blockade (SMOG pp.155, 160), which is not relevant. Sources list left empty because no page mentions the drug for this indication. The bank's only source is the WHO Model List of Essential Medicines (2025); per the owner's rules WHO is not used for a proposal.</w:t>
      </w:r>
    </w:p>
    <w:p>
      <w:pPr>
        <w:pStyle w:val="BodyText"/>
        <w:bidi w:val="0"/>
        <w:jc w:val="left"/>
        <w:rPr>
          <w:i/>
        </w:rPr>
      </w:pPr>
      <w:r>
        <w:rPr>
          <w:i/>
        </w:rPr>
        <w:t>No JTS, SMOG or NASEMSO page found.</w:t>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E30</w:t>
      </w:r>
    </w:p>
    <w:p>
      <w:pPr>
        <w:pStyle w:val="Heading2"/>
        <w:bidi w:val="0"/>
        <w:spacing w:before="40" w:after="80"/>
        <w:ind w:hanging="0" w:left="40" w:right="40"/>
        <w:jc w:val="left"/>
        <w:rPr>
          <w:sz w:val="28"/>
        </w:rPr>
      </w:pPr>
      <w:r>
        <w:rPr>
          <w:sz w:val="28"/>
        </w:rPr>
        <w:t>E30. quinine: severe malaria</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quinine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malaria</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all JTS CPGs and SMOG for artesunate, artemether, lumefantrine/lumafantrine, Coartem, Malarone, atovaquone, quinine, quinidine, chloroquine, primaquine, malaria. JTS hits: ID83 Sepsis PFC p.8 (antiparasitic regimens), ID91 PCC p.40 (Table 14), ID101 CBRN Part 4 p.26 (MCMs for malaria, no doses). SMOG mentions only cerebral malaria as a steroid contraindication (p.104) and quinidine as a neuromuscular-blocker interaction (pp.155, 160). NASEMSO: no antimalarial dose. No JTS or SMOG page mentions quinine for malaria; the only related term is quinidine, as a drug that potentiates neuromuscular blockade (SMOG pp.155, 160), which is not relevant. Sources list left empty because no page mentions the drug for this indication. The bank's only source is the WHO Model List of Essential Medicines (2025); per the owner's rules WHO is not used for a proposal.</w:t>
      </w:r>
    </w:p>
    <w:p>
      <w:pPr>
        <w:pStyle w:val="BodyText"/>
        <w:bidi w:val="0"/>
        <w:jc w:val="left"/>
        <w:rPr>
          <w:i/>
        </w:rPr>
      </w:pPr>
      <w:r>
        <w:rPr>
          <w:i/>
        </w:rPr>
        <w:t>No JTS, SMOG or NASEMSO page found.</w:t>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E31</w:t>
      </w:r>
    </w:p>
    <w:p>
      <w:pPr>
        <w:pStyle w:val="Heading2"/>
        <w:bidi w:val="0"/>
        <w:spacing w:before="40" w:after="80"/>
        <w:ind w:hanging="0" w:left="40" w:right="40"/>
        <w:jc w:val="left"/>
        <w:rPr>
          <w:sz w:val="28"/>
        </w:rPr>
      </w:pPr>
      <w:r>
        <w:rPr>
          <w:sz w:val="28"/>
        </w:rPr>
        <w:t>E31. antivenom immunoglobulin: envenoming</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antivenom immunoglobulin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envenoming</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RETIRE is pre-marked for the generic entry. ID84 does state product-specific numbers (widow spider antivenom 1 vial IV, p.4; scorpion antivenoms by country, p.15; the same dose for adults and children, p.9); the owner may prefer product entries drafted from ID84 instead. Searched JTS and SMOG for antivenom, antivenin, CroFab, Anavip, Anascorp, envenom, snake, crotalid, pit viper, vial. No human JTS snake CPG is in the library (ID101 p.17 cites a 'JTS Global Snake Envenomation Management, 30 Jun 2020' CPG, which is not in jts_protocols). Arachnid_Snake_Envenomation_MWD is a military working dog CPG and is not used for human doses. JTS ID84 states only product- and species-specific doses: Latrodectus antivenom 1 vial IV (p.4), Australian funnel-web antivenom 2 vials, 4 vials for pulmonary oedema or reduced consciousness, repeated every 15 min (p.6), and a country-by-country scorpion antivenom table (p.15, from 2-10 mL IV to 2-8 vials). Premarked RETIRE because there is no number for a generic 'antivenom immunoglobulin'; the owner may instead choose to split this into product-specific entries sourced from ID84. ID84 p.9 states antivenom dosing is the same for adults and children. SMOG p.88 says only to confirm the receiving facility has regionally specific antivenom. NASEMSO p.292 names antivenom without a dose.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ID84, Global Spider and Scorpion Envenomation Management (09 Feb 2021): printed page </w:t>
      </w:r>
      <w:r>
        <w:rPr>
          <w:b/>
          <w:sz w:val="16"/>
        </w:rPr>
        <w:t>4</w:t>
      </w:r>
      <w:r>
        <w:rPr>
          <w:sz w:val="16"/>
        </w:rPr>
        <w:t xml:space="preserve"> (PDF page 4) · states: no number for a generic antivenom entry: product-specific: Latrodectus (widow spider) antivenom 1 vial IV, may repeat once at 15-30 min; not a generic antivenom dose</w:t>
      </w:r>
    </w:p>
    <w:p>
      <w:pPr>
        <w:pStyle w:val="BodyText"/>
        <w:bidi w:val="0"/>
        <w:spacing w:before="0" w:after="40"/>
        <w:ind w:hanging="0" w:left="240" w:right="0"/>
        <w:jc w:val="left"/>
        <w:rPr/>
      </w:pPr>
      <w:r>
        <w:rPr/>
        <w:t>“</w:t>
      </w:r>
      <w:r>
        <w:rPr>
          <w:rFonts w:ascii="DejaVu Serif;serif" w:hAnsi="DejaVu Serif;serif"/>
          <w:sz w:val="15"/>
        </w:rPr>
        <w:t>The dose consists of one 2.5 milliliter vial of antivenom dissolved in one 2.5 milliliter vial of sterile water (provided in the antivenom kit) administered intravenously.”</w:t>
      </w:r>
    </w:p>
    <w:p>
      <w:pPr>
        <w:pStyle w:val="BodyText"/>
        <w:bidi w:val="0"/>
        <w:ind w:hanging="0" w:left="0" w:right="0"/>
        <w:jc w:val="left"/>
        <w:rPr/>
      </w:pPr>
      <w:r>
        <w:rPr/>
        <w:drawing>
          <wp:inline distT="0" distB="0" distL="0" distR="0">
            <wp:extent cx="6583680" cy="374650"/>
            <wp:effectExtent l="0" t="0" r="0" b="0"/>
            <wp:docPr id="90"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pic:cNvPicPr>
                      <a:picLocks noChangeAspect="1" noChangeArrowheads="1"/>
                    </pic:cNvPicPr>
                  </pic:nvPicPr>
                  <pic:blipFill>
                    <a:blip r:embed="rId91"/>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ID84, Global Spider and Scorpion Envenomation Management (09 Feb 2021): printed page </w:t>
      </w:r>
      <w:r>
        <w:rPr>
          <w:b/>
          <w:sz w:val="16"/>
        </w:rPr>
        <w:t>9</w:t>
      </w:r>
      <w:r>
        <w:rPr>
          <w:sz w:val="16"/>
        </w:rPr>
        <w:t xml:space="preserve"> (PDF page 9) · states: no number; scorpion antivenom dose is the same for adults and children, product doses in Appendix C</w:t>
      </w:r>
    </w:p>
    <w:p>
      <w:pPr>
        <w:pStyle w:val="BodyText"/>
        <w:bidi w:val="0"/>
        <w:spacing w:before="0" w:after="40"/>
        <w:ind w:hanging="0" w:left="240" w:right="0"/>
        <w:jc w:val="left"/>
        <w:rPr/>
      </w:pPr>
      <w:r>
        <w:rPr/>
        <w:t>“</w:t>
      </w:r>
      <w:r>
        <w:rPr>
          <w:rFonts w:ascii="DejaVu Serif;serif" w:hAnsi="DejaVu Serif;serif"/>
          <w:sz w:val="15"/>
        </w:rPr>
        <w:t>efficacy of intravenous compared to intramuscular antivenom administration.33 Antivenom dosing does not depend on patient weight or size and is the same for adult and pediatric patients.34”</w:t>
      </w:r>
    </w:p>
    <w:p>
      <w:pPr>
        <w:pStyle w:val="BodyText"/>
        <w:bidi w:val="0"/>
        <w:ind w:hanging="0" w:left="0" w:right="0"/>
        <w:jc w:val="left"/>
        <w:rPr/>
      </w:pPr>
      <w:r>
        <w:rPr/>
        <w:drawing>
          <wp:inline distT="0" distB="0" distL="0" distR="0">
            <wp:extent cx="6583680" cy="374650"/>
            <wp:effectExtent l="0" t="0" r="0" b="0"/>
            <wp:docPr id="91"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pic:cNvPicPr>
                      <a:picLocks noChangeAspect="1" noChangeArrowheads="1"/>
                    </pic:cNvPicPr>
                  </pic:nvPicPr>
                  <pic:blipFill>
                    <a:blip r:embed="rId92"/>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ID84, Global Spider and Scorpion Envenomation Management (09 Feb 2021): printed page </w:t>
      </w:r>
      <w:r>
        <w:rPr>
          <w:b/>
          <w:sz w:val="16"/>
        </w:rPr>
        <w:t>15</w:t>
      </w:r>
      <w:r>
        <w:rPr>
          <w:sz w:val="16"/>
        </w:rPr>
        <w:t xml:space="preserve"> (PDF page 15) · states: no number for a generic antivenom entry: product- and country-specific scorpion antivenom regimens (e.g. Mexico/US polyvalent 3 vials IV; others 2-20 mL IV)</w:t>
      </w:r>
    </w:p>
    <w:p>
      <w:pPr>
        <w:pStyle w:val="BodyText"/>
        <w:bidi w:val="0"/>
        <w:spacing w:before="0" w:after="40"/>
        <w:ind w:hanging="0" w:left="240" w:right="0"/>
        <w:jc w:val="left"/>
        <w:rPr/>
      </w:pPr>
      <w:r>
        <w:rPr/>
        <w:t>“</w:t>
      </w:r>
      <w:r>
        <w:rPr>
          <w:rFonts w:ascii="DejaVu Serif;serif" w:hAnsi="DejaVu Serif;serif"/>
          <w:sz w:val="15"/>
        </w:rPr>
        <w:t>Mexico, Centruroides limpidus, C. noxius, Polyvalent scorpion 3 vials, each reconstituted in 5 mL of”</w:t>
      </w:r>
    </w:p>
    <w:p>
      <w:pPr>
        <w:pStyle w:val="BodyText"/>
        <w:bidi w:val="0"/>
        <w:ind w:hanging="0" w:left="0" w:right="0"/>
        <w:jc w:val="left"/>
        <w:rPr/>
      </w:pPr>
      <w:r>
        <w:rPr/>
        <w:drawing>
          <wp:inline distT="0" distB="0" distL="0" distR="0">
            <wp:extent cx="6583680" cy="374650"/>
            <wp:effectExtent l="0" t="0" r="0" b="0"/>
            <wp:docPr id="92"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pic:cNvPicPr>
                      <a:picLocks noChangeAspect="1" noChangeArrowheads="1"/>
                    </pic:cNvPicPr>
                  </pic:nvPicPr>
                  <pic:blipFill>
                    <a:blip r:embed="rId93"/>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88</w:t>
      </w:r>
      <w:r>
        <w:rPr>
          <w:sz w:val="16"/>
        </w:rPr>
        <w:t xml:space="preserve"> (PDF page 88) · states: no number</w:t>
      </w:r>
    </w:p>
    <w:p>
      <w:pPr>
        <w:pStyle w:val="BodyText"/>
        <w:bidi w:val="0"/>
        <w:spacing w:before="0" w:after="40"/>
        <w:ind w:hanging="0" w:left="240" w:right="0"/>
        <w:jc w:val="left"/>
        <w:rPr/>
      </w:pPr>
      <w:r>
        <w:rPr/>
        <w:t>“</w:t>
      </w:r>
      <w:r>
        <w:rPr>
          <w:rFonts w:ascii="DejaVu Serif;serif" w:hAnsi="DejaVu Serif;serif"/>
          <w:sz w:val="15"/>
        </w:rPr>
        <w:t>Spider, Scorpion, and Snakebites o Confirm receiving facility has adequate supply of the appropriate regionally specific antivenoms.”</w:t>
      </w:r>
    </w:p>
    <w:p>
      <w:pPr>
        <w:pStyle w:val="BodyText"/>
        <w:bidi w:val="0"/>
        <w:ind w:hanging="0" w:left="0" w:right="0"/>
        <w:jc w:val="left"/>
        <w:rPr/>
      </w:pPr>
      <w:r>
        <w:rPr/>
        <w:drawing>
          <wp:inline distT="0" distB="0" distL="0" distR="0">
            <wp:extent cx="6583680" cy="374650"/>
            <wp:effectExtent l="0" t="0" r="0" b="0"/>
            <wp:docPr id="93"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pic:cNvPicPr>
                      <a:picLocks noChangeAspect="1" noChangeArrowheads="1"/>
                    </pic:cNvPicPr>
                  </pic:nvPicPr>
                  <pic:blipFill>
                    <a:blip r:embed="rId94"/>
                    <a:srcRect l="-113" t="-1997" r="-113" b="-1997"/>
                    <a:stretch>
                      <a:fillRect/>
                    </a:stretch>
                  </pic:blipFill>
                  <pic:spPr bwMode="auto">
                    <a:xfrm>
                      <a:off x="0" y="0"/>
                      <a:ext cx="6583680" cy="37465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E32</w:t>
      </w:r>
    </w:p>
    <w:p>
      <w:pPr>
        <w:pStyle w:val="Heading2"/>
        <w:bidi w:val="0"/>
        <w:spacing w:before="40" w:after="80"/>
        <w:ind w:hanging="0" w:left="40" w:right="40"/>
        <w:jc w:val="left"/>
        <w:rPr>
          <w:sz w:val="28"/>
        </w:rPr>
      </w:pPr>
      <w:r>
        <w:rPr>
          <w:sz w:val="28"/>
        </w:rPr>
        <w:t>E32. oral rehydration salts: cholera / acute watery diarrhoea — rehydration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oral rehydration salts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cholera / acute watery diarrhoea — rehydration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oral rehydration, ORS, rehydration solution, Pedialyte, electrolyte solution, cholera, diarrhoea/diarrhea. No JTS or SMOG page gives an ORS volume or rate for cholera or acute watery diarrhoea. JTS gives ORS recipes and rates for other indications: sepsis (ID83 p.9, recipe and rectal 100-500 mL/h), burns (ID12 p.41, at least 100 mL/hr enteral resuscitation for adults; ID57 p.7), crush syndrome (ID58 p.3). ID101 lists cholera only in differential tables. SMOG p.40 (Vomiting and Diarrhea) gives IV fluid choice only. ID91 p.41 (Table 16) lists oral rehydration salt as a hydration option without a number. ID12 p.41 text uses the 'fi' ligature character in 'first', copied verbatim.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ID83, Sepsis Management in Prolonged Field Care (28 Oct 2020): printed page </w:t>
      </w:r>
      <w:r>
        <w:rPr>
          <w:b/>
          <w:sz w:val="16"/>
        </w:rPr>
        <w:t>9</w:t>
      </w:r>
      <w:r>
        <w:rPr>
          <w:sz w:val="16"/>
        </w:rPr>
        <w:t xml:space="preserve"> (PDF page 9) · states: no number for cholera/diarrhoea: ORS recipe only, in sepsis fluid resuscitation</w:t>
      </w:r>
    </w:p>
    <w:p>
      <w:pPr>
        <w:pStyle w:val="BodyText"/>
        <w:bidi w:val="0"/>
        <w:spacing w:before="0" w:after="40"/>
        <w:ind w:hanging="0" w:left="240" w:right="0"/>
        <w:jc w:val="left"/>
        <w:rPr/>
      </w:pPr>
      <w:r>
        <w:rPr/>
        <w:t>“</w:t>
      </w:r>
      <w:r>
        <w:rPr>
          <w:rFonts w:ascii="DejaVu Serif;serif" w:hAnsi="DejaVu Serif;serif"/>
          <w:sz w:val="15"/>
        </w:rPr>
        <w:t>patients who cannot consume food but can drink water (use either proprietary mixtures or fabricated – 6 teaspoons of granulated sugar with ½ teaspoon of table salt in 1 liter of water.”</w:t>
      </w:r>
    </w:p>
    <w:p>
      <w:pPr>
        <w:pStyle w:val="BodyText"/>
        <w:bidi w:val="0"/>
        <w:ind w:hanging="0" w:left="0" w:right="0"/>
        <w:jc w:val="left"/>
        <w:rPr/>
      </w:pPr>
      <w:r>
        <w:rPr/>
        <w:drawing>
          <wp:inline distT="0" distB="0" distL="0" distR="0">
            <wp:extent cx="6583680" cy="621665"/>
            <wp:effectExtent l="0" t="0" r="0" b="0"/>
            <wp:docPr id="94"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pic:cNvPicPr>
                      <a:picLocks noChangeAspect="1" noChangeArrowheads="1"/>
                    </pic:cNvPicPr>
                  </pic:nvPicPr>
                  <pic:blipFill>
                    <a:blip r:embed="rId95"/>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ID12, Burn Care (10 Jun 2025): printed page </w:t>
      </w:r>
      <w:r>
        <w:rPr>
          <w:b/>
          <w:sz w:val="16"/>
        </w:rPr>
        <w:t>41</w:t>
      </w:r>
      <w:r>
        <w:rPr>
          <w:sz w:val="16"/>
        </w:rPr>
        <w:t xml:space="preserve"> (PDF page 41) · states: no number for cholera/diarrhoea: adult burn enteral resuscitation rate only</w:t>
      </w:r>
    </w:p>
    <w:p>
      <w:pPr>
        <w:pStyle w:val="BodyText"/>
        <w:bidi w:val="0"/>
        <w:spacing w:before="0" w:after="40"/>
        <w:ind w:hanging="0" w:left="240" w:right="0"/>
        <w:jc w:val="left"/>
        <w:rPr/>
      </w:pPr>
      <w:r>
        <w:rPr/>
        <w:t>“</w:t>
      </w:r>
      <w:r>
        <w:rPr>
          <w:rFonts w:ascii="DejaVu Serif;serif" w:hAnsi="DejaVu Serif;serif"/>
          <w:sz w:val="15"/>
        </w:rPr>
        <w:t>4. Give at least 100 mL/hr of enteral resuscitation for the ﬁrst 48 hours.”</w:t>
      </w:r>
    </w:p>
    <w:p>
      <w:pPr>
        <w:pStyle w:val="BodyText"/>
        <w:bidi w:val="0"/>
        <w:ind w:hanging="0" w:left="0" w:right="0"/>
        <w:jc w:val="left"/>
        <w:rPr/>
      </w:pPr>
      <w:r>
        <w:rPr/>
        <w:drawing>
          <wp:inline distT="0" distB="0" distL="0" distR="0">
            <wp:extent cx="6583680" cy="621665"/>
            <wp:effectExtent l="0" t="0" r="0" b="0"/>
            <wp:docPr id="95"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pic:cNvPicPr>
                      <a:picLocks noChangeAspect="1" noChangeArrowheads="1"/>
                    </pic:cNvPicPr>
                  </pic:nvPicPr>
                  <pic:blipFill>
                    <a:blip r:embed="rId96"/>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41</w:t>
      </w:r>
      <w:r>
        <w:rPr>
          <w:sz w:val="16"/>
        </w:rPr>
        <w:t xml:space="preserve"> (PDF page 41) · states: no number</w:t>
      </w:r>
    </w:p>
    <w:p>
      <w:pPr>
        <w:pStyle w:val="BodyText"/>
        <w:bidi w:val="0"/>
        <w:spacing w:before="0" w:after="40"/>
        <w:ind w:hanging="0" w:left="240" w:right="0"/>
        <w:jc w:val="left"/>
        <w:rPr/>
      </w:pPr>
      <w:r>
        <w:rPr/>
        <w:t>“</w:t>
      </w:r>
      <w:r>
        <w:rPr>
          <w:rFonts w:ascii="DejaVu Serif;serif" w:hAnsi="DejaVu Serif;serif"/>
          <w:sz w:val="15"/>
        </w:rPr>
        <w:t>Hydration (PO) Water Water + salt + sugar Water + Gatorade (or other”</w:t>
      </w:r>
    </w:p>
    <w:p>
      <w:pPr>
        <w:pStyle w:val="BodyText"/>
        <w:bidi w:val="0"/>
        <w:ind w:hanging="0" w:left="0" w:right="0"/>
        <w:jc w:val="left"/>
        <w:rPr/>
      </w:pPr>
      <w:r>
        <w:rPr/>
        <w:drawing>
          <wp:inline distT="0" distB="0" distL="0" distR="0">
            <wp:extent cx="6583680" cy="621665"/>
            <wp:effectExtent l="0" t="0" r="0" b="0"/>
            <wp:docPr id="96"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pic:cNvPicPr>
                      <a:picLocks noChangeAspect="1" noChangeArrowheads="1"/>
                    </pic:cNvPicPr>
                  </pic:nvPicPr>
                  <pic:blipFill>
                    <a:blip r:embed="rId97"/>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40</w:t>
      </w:r>
      <w:r>
        <w:rPr>
          <w:sz w:val="16"/>
        </w:rPr>
        <w:t xml:space="preserve"> (PDF page 40) · states: no number; no ORS (IV fluid choice only)</w:t>
      </w:r>
    </w:p>
    <w:p>
      <w:pPr>
        <w:pStyle w:val="BodyText"/>
        <w:bidi w:val="0"/>
        <w:spacing w:before="0" w:after="40"/>
        <w:ind w:hanging="0" w:left="240" w:right="0"/>
        <w:jc w:val="left"/>
        <w:rPr/>
      </w:pPr>
      <w:r>
        <w:rPr/>
        <w:t>“</w:t>
      </w:r>
      <w:r>
        <w:rPr>
          <w:rFonts w:ascii="DejaVu Serif;serif" w:hAnsi="DejaVu Serif;serif"/>
          <w:sz w:val="15"/>
        </w:rPr>
        <w:t>Fluid of choice for vomiting is NS. Fluid of choice for diarrhea is LR”</w:t>
      </w:r>
    </w:p>
    <w:p>
      <w:pPr>
        <w:pStyle w:val="BodyText"/>
        <w:bidi w:val="0"/>
        <w:ind w:hanging="0" w:left="0" w:right="0"/>
        <w:jc w:val="left"/>
        <w:rPr/>
      </w:pPr>
      <w:r>
        <w:rPr/>
        <w:drawing>
          <wp:inline distT="0" distB="0" distL="0" distR="0">
            <wp:extent cx="6583680" cy="621665"/>
            <wp:effectExtent l="0" t="0" r="0" b="0"/>
            <wp:docPr id="97"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pic:cNvPicPr>
                      <a:picLocks noChangeAspect="1" noChangeArrowheads="1"/>
                    </pic:cNvPicPr>
                  </pic:nvPicPr>
                  <pic:blipFill>
                    <a:blip r:embed="rId98"/>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E33</w:t>
      </w:r>
    </w:p>
    <w:p>
      <w:pPr>
        <w:pStyle w:val="Heading2"/>
        <w:bidi w:val="0"/>
        <w:spacing w:before="40" w:after="80"/>
        <w:ind w:hanging="0" w:left="40" w:right="40"/>
        <w:jc w:val="left"/>
        <w:rPr>
          <w:sz w:val="28"/>
        </w:rPr>
      </w:pPr>
      <w:r>
        <w:rPr>
          <w:sz w:val="28"/>
        </w:rPr>
        <w:t>E33. zinc sulfate: acute diarrhoea — adjunct to ORS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zinc sulfate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acute diarrhoea — adjunct to ORS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zinc. The only dose is zinc sulfate 220 mg PO once daily for up to two weeks as trace-mineral supplementation in nutrition support (ID33 p.6), a different indication and an adult injured population. Nothing for paediatric diarrhoea. NASEMSO: no mention.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ID33, Nutritional Support Using Enteral and Parenteral Methods (04 Aug 2016): printed page </w:t>
      </w:r>
      <w:r>
        <w:rPr>
          <w:b/>
          <w:sz w:val="16"/>
        </w:rPr>
        <w:t>6</w:t>
      </w:r>
      <w:r>
        <w:rPr>
          <w:sz w:val="16"/>
        </w:rPr>
        <w:t xml:space="preserve"> (PDF page 6) · states: no number for this indication: 220 mg PO daily is trace-mineral supplementation in nutrition support of injured (adult) patients, not paediatric diarrhoea</w:t>
      </w:r>
    </w:p>
    <w:p>
      <w:pPr>
        <w:pStyle w:val="BodyText"/>
        <w:bidi w:val="0"/>
        <w:spacing w:before="0" w:after="40"/>
        <w:ind w:hanging="0" w:left="240" w:right="0"/>
        <w:jc w:val="left"/>
        <w:rPr/>
      </w:pPr>
      <w:r>
        <w:rPr/>
        <w:t>“</w:t>
      </w:r>
      <w:r>
        <w:rPr>
          <w:rFonts w:ascii="DejaVu Serif;serif" w:hAnsi="DejaVu Serif;serif"/>
          <w:sz w:val="15"/>
        </w:rPr>
        <w:t>Zinc Sulfate 220 mg tab by mouth once a day for no more than two weeks”</w:t>
      </w:r>
    </w:p>
    <w:p>
      <w:pPr>
        <w:pStyle w:val="BodyText"/>
        <w:bidi w:val="0"/>
        <w:ind w:hanging="0" w:left="0" w:right="0"/>
        <w:jc w:val="left"/>
        <w:rPr/>
      </w:pPr>
      <w:r>
        <w:rPr/>
        <w:drawing>
          <wp:inline distT="0" distB="0" distL="0" distR="0">
            <wp:extent cx="6583680" cy="2377440"/>
            <wp:effectExtent l="0" t="0" r="0" b="0"/>
            <wp:docPr id="98"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pic:cNvPicPr>
                      <a:picLocks noChangeAspect="1" noChangeArrowheads="1"/>
                    </pic:cNvPicPr>
                  </pic:nvPicPr>
                  <pic:blipFill>
                    <a:blip r:embed="rId99"/>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E34</w:t>
      </w:r>
    </w:p>
    <w:p>
      <w:pPr>
        <w:pStyle w:val="Heading2"/>
        <w:bidi w:val="0"/>
        <w:spacing w:before="40" w:after="80"/>
        <w:ind w:hanging="0" w:left="40" w:right="40"/>
        <w:jc w:val="left"/>
        <w:rPr>
          <w:sz w:val="28"/>
        </w:rPr>
      </w:pPr>
      <w:r>
        <w:rPr>
          <w:sz w:val="28"/>
        </w:rPr>
        <w:t>E34. isoniazid: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isoniazid</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99"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pic:cNvPicPr>
                      <a:picLocks noChangeAspect="1" noChangeArrowheads="1"/>
                    </pic:cNvPicPr>
                  </pic:nvPicPr>
                  <pic:blipFill>
                    <a:blip r:embed="rId100"/>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E35</w:t>
      </w:r>
    </w:p>
    <w:p>
      <w:pPr>
        <w:pStyle w:val="Heading2"/>
        <w:bidi w:val="0"/>
        <w:spacing w:before="40" w:after="80"/>
        <w:ind w:hanging="0" w:left="40" w:right="40"/>
        <w:jc w:val="left"/>
        <w:rPr>
          <w:sz w:val="28"/>
        </w:rPr>
      </w:pPr>
      <w:r>
        <w:rPr>
          <w:sz w:val="28"/>
        </w:rPr>
        <w:t>E35. isoniazid: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isoniazid</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0"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pic:cNvPicPr>
                      <a:picLocks noChangeAspect="1" noChangeArrowheads="1"/>
                    </pic:cNvPicPr>
                  </pic:nvPicPr>
                  <pic:blipFill>
                    <a:blip r:embed="rId101"/>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E36</w:t>
      </w:r>
    </w:p>
    <w:p>
      <w:pPr>
        <w:pStyle w:val="Heading2"/>
        <w:bidi w:val="0"/>
        <w:spacing w:before="40" w:after="80"/>
        <w:ind w:hanging="0" w:left="40" w:right="40"/>
        <w:jc w:val="left"/>
        <w:rPr>
          <w:sz w:val="28"/>
        </w:rPr>
      </w:pPr>
      <w:r>
        <w:rPr>
          <w:sz w:val="28"/>
        </w:rPr>
        <w:t>E36. rifampicin: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rifampicin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1"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pic:cNvPicPr>
                      <a:picLocks noChangeAspect="1" noChangeArrowheads="1"/>
                    </pic:cNvPicPr>
                  </pic:nvPicPr>
                  <pic:blipFill>
                    <a:blip r:embed="rId102"/>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E37</w:t>
      </w:r>
    </w:p>
    <w:p>
      <w:pPr>
        <w:pStyle w:val="Heading2"/>
        <w:bidi w:val="0"/>
        <w:spacing w:before="40" w:after="80"/>
        <w:ind w:hanging="0" w:left="40" w:right="40"/>
        <w:jc w:val="left"/>
        <w:rPr>
          <w:sz w:val="28"/>
        </w:rPr>
      </w:pPr>
      <w:r>
        <w:rPr>
          <w:sz w:val="28"/>
        </w:rPr>
        <w:t>E37. rifampicin: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rifampicin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2"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pic:cNvPicPr>
                      <a:picLocks noChangeAspect="1" noChangeArrowheads="1"/>
                    </pic:cNvPicPr>
                  </pic:nvPicPr>
                  <pic:blipFill>
                    <a:blip r:embed="rId103"/>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E38</w:t>
      </w:r>
    </w:p>
    <w:p>
      <w:pPr>
        <w:pStyle w:val="Heading2"/>
        <w:bidi w:val="0"/>
        <w:spacing w:before="40" w:after="80"/>
        <w:ind w:hanging="0" w:left="40" w:right="40"/>
        <w:jc w:val="left"/>
        <w:rPr>
          <w:sz w:val="28"/>
        </w:rPr>
      </w:pPr>
      <w:r>
        <w:rPr>
          <w:sz w:val="28"/>
        </w:rPr>
        <w:t>E38. pyrazinamide: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pyrazinamide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3"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pic:cNvPicPr>
                      <a:picLocks noChangeAspect="1" noChangeArrowheads="1"/>
                    </pic:cNvPicPr>
                  </pic:nvPicPr>
                  <pic:blipFill>
                    <a:blip r:embed="rId104"/>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E39</w:t>
      </w:r>
    </w:p>
    <w:p>
      <w:pPr>
        <w:pStyle w:val="Heading2"/>
        <w:bidi w:val="0"/>
        <w:spacing w:before="40" w:after="80"/>
        <w:ind w:hanging="0" w:left="40" w:right="40"/>
        <w:jc w:val="left"/>
        <w:rPr>
          <w:sz w:val="28"/>
        </w:rPr>
      </w:pPr>
      <w:r>
        <w:rPr>
          <w:sz w:val="28"/>
        </w:rPr>
        <w:t>E39. pyrazinamide: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pyrazinamide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4"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pic:cNvPicPr>
                      <a:picLocks noChangeAspect="1" noChangeArrowheads="1"/>
                    </pic:cNvPicPr>
                  </pic:nvPicPr>
                  <pic:blipFill>
                    <a:blip r:embed="rId105"/>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E40</w:t>
      </w:r>
    </w:p>
    <w:p>
      <w:pPr>
        <w:pStyle w:val="Heading2"/>
        <w:bidi w:val="0"/>
        <w:spacing w:before="40" w:after="80"/>
        <w:ind w:hanging="0" w:left="40" w:right="40"/>
        <w:jc w:val="left"/>
        <w:rPr>
          <w:sz w:val="28"/>
        </w:rPr>
      </w:pPr>
      <w:r>
        <w:rPr>
          <w:sz w:val="28"/>
        </w:rPr>
        <w:t>E40. ethambutol: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ethambutol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5"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pic:cNvPicPr>
                      <a:picLocks noChangeAspect="1" noChangeArrowheads="1"/>
                    </pic:cNvPicPr>
                  </pic:nvPicPr>
                  <pic:blipFill>
                    <a:blip r:embed="rId106"/>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E41</w:t>
      </w:r>
    </w:p>
    <w:p>
      <w:pPr>
        <w:pStyle w:val="Heading2"/>
        <w:bidi w:val="0"/>
        <w:spacing w:before="40" w:after="80"/>
        <w:ind w:hanging="0" w:left="40" w:right="40"/>
        <w:jc w:val="left"/>
        <w:rPr>
          <w:sz w:val="28"/>
        </w:rPr>
      </w:pPr>
      <w:r>
        <w:rPr>
          <w:sz w:val="28"/>
        </w:rPr>
        <w:t>E41. ethambutol: drug-susceptible tuberculosis — first-line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ethambutol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first-line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6"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pic:cNvPicPr>
                      <a:picLocks noChangeAspect="1" noChangeArrowheads="1"/>
                    </pic:cNvPicPr>
                  </pic:nvPicPr>
                  <pic:blipFill>
                    <a:blip r:embed="rId107"/>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Unsigned contract entry · E42</w:t>
      </w:r>
    </w:p>
    <w:p>
      <w:pPr>
        <w:pStyle w:val="Heading2"/>
        <w:bidi w:val="0"/>
        <w:spacing w:before="40" w:after="80"/>
        <w:ind w:hanging="0" w:left="40" w:right="40"/>
        <w:jc w:val="left"/>
        <w:rPr>
          <w:sz w:val="28"/>
        </w:rPr>
      </w:pPr>
      <w:r>
        <w:rPr>
          <w:sz w:val="28"/>
        </w:rPr>
        <w:t>E42. ethambutol + isoniazid + pyrazinamide + rifampicin: drug-susceptible tuberculosis — intensive phase</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ethambutol + isoniazid + pyrazinamide + rifampicin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drug-susceptible tuberculosis — intensive phase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none: no JTS or SMOG page states a number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Searched JTS and SMOG for isoniazid, INH, rifampicin, rifampin, rifabutin, pyrazinamide, ethambutol, Rifater, Rifamate, RIPE, TB, tuberculosis. No JTS or SMOG page gives a TB treatment regimen. ID101 lists tuberculosis only as a disease in differential tables (pp.28-31) and mentions drug-resistant TB (p.4) and BCG vaccine (p.37); rifampin appears only for brucellosis/anthrax regimens (ID101 pp.22-23) and rifampin-soaked grafts (ID46). NASEMSO mentions rifampin only as a CYP3A4 inducer (p.388). The bank's only source is the WHO Model List of Essential Medicines (2025); per the owner's rules WHO is not used for a proposal.</w:t>
      </w:r>
    </w:p>
    <w:p>
      <w:pPr>
        <w:pStyle w:val="BodyText"/>
        <w:bidi w:val="0"/>
        <w:spacing w:before="80" w:after="20"/>
        <w:ind w:hanging="0" w:left="80" w:right="80"/>
        <w:jc w:val="left"/>
        <w:rPr>
          <w:sz w:val="16"/>
        </w:rPr>
      </w:pPr>
      <w:r>
        <w:rPr>
          <w:b/>
          <w:sz w:val="16"/>
        </w:rPr>
        <w:t>JTS</w:t>
      </w:r>
      <w:r>
        <w:rPr>
          <w:sz w:val="16"/>
        </w:rPr>
        <w:t xml:space="preserve"> · JTS CPG ID101, CBRN Injury Response Part 4: General Approach to Biological Casualties (27 Feb 2025): printed page </w:t>
      </w:r>
      <w:r>
        <w:rPr>
          <w:b/>
          <w:sz w:val="16"/>
        </w:rPr>
        <w:t>28</w:t>
      </w:r>
      <w:r>
        <w:rPr>
          <w:sz w:val="16"/>
        </w:rPr>
        <w:t xml:space="preserve"> (PDF page 28) · states: no number; listed as a disease in a differential table only</w:t>
      </w:r>
    </w:p>
    <w:p>
      <w:pPr>
        <w:pStyle w:val="BodyText"/>
        <w:bidi w:val="0"/>
        <w:spacing w:before="0" w:after="40"/>
        <w:ind w:hanging="0" w:left="240" w:right="0"/>
        <w:jc w:val="left"/>
        <w:rPr/>
      </w:pPr>
      <w:r>
        <w:rPr/>
        <w:t>“</w:t>
      </w:r>
      <w:r>
        <w:rPr>
          <w:rFonts w:ascii="DejaVu Serif;serif" w:hAnsi="DejaVu Serif;serif"/>
          <w:sz w:val="15"/>
        </w:rPr>
        <w:t>Tuberculosis”</w:t>
      </w:r>
    </w:p>
    <w:p>
      <w:pPr>
        <w:pStyle w:val="BodyText"/>
        <w:bidi w:val="0"/>
        <w:ind w:hanging="0" w:left="0" w:right="0"/>
        <w:jc w:val="left"/>
        <w:rPr/>
      </w:pPr>
      <w:r>
        <w:rPr/>
        <w:drawing>
          <wp:inline distT="0" distB="0" distL="0" distR="0">
            <wp:extent cx="6583680" cy="2377440"/>
            <wp:effectExtent l="0" t="0" r="0" b="0"/>
            <wp:docPr id="107"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pic:cNvPicPr>
                      <a:picLocks noChangeAspect="1" noChangeArrowheads="1"/>
                    </pic:cNvPicPr>
                  </pic:nvPicPr>
                  <pic:blipFill>
                    <a:blip r:embed="rId108"/>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U01</w:t>
      </w:r>
    </w:p>
    <w:p>
      <w:pPr>
        <w:pStyle w:val="Heading2"/>
        <w:bidi w:val="0"/>
        <w:spacing w:before="40" w:after="80"/>
        <w:ind w:hanging="0" w:left="40" w:right="40"/>
        <w:jc w:val="left"/>
        <w:rPr>
          <w:sz w:val="28"/>
        </w:rPr>
      </w:pPr>
      <w:r>
        <w:rPr>
          <w:sz w:val="28"/>
        </w:rPr>
        <w:t>U01. cefazolin: penetrating brain injury (post-injury antimicrobial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cefazolin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penetrating brain injury (post-injury antimicrobial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 every 6-8 h; duration 5 days or until CSF leak is closed, whichever is longer</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6-8 h</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Interval and duration differ between JTS pages: ID24 p.11 (and SMOG p.64, ID30 p.7) give every 6-8 h for 5 days or until the CSF leak is closed, whichever is longer; ID63 p.8 gives every 8 h for 5 days with no CSF-leak clause.</w:t>
      </w:r>
    </w:p>
    <w:p>
      <w:pPr>
        <w:pStyle w:val="BodyText"/>
        <w:bidi w:val="0"/>
        <w:spacing w:before="60" w:after="60"/>
        <w:ind w:hanging="0" w:left="60" w:right="60"/>
        <w:jc w:val="left"/>
        <w:rPr>
          <w:sz w:val="15"/>
        </w:rPr>
      </w:pPr>
      <w:r>
        <w:rPr>
          <w:b/>
          <w:sz w:val="15"/>
        </w:rPr>
        <w:t>Note:</w:t>
      </w:r>
      <w:r>
        <w:rPr>
          <w:sz w:val="15"/>
        </w:rPr>
        <w:t xml:space="preserve"> Proposal follows ID24 (the infection-prevention CPG); owner to choose against ID63. ID24 p.12 footnote (dagger) says cefazolin may be dosed by body mass: 1 g if weight &lt; 80 kg, 2 g if 81-160 kg, 3 g if &gt; 160 kg. ID63 p.20 summary table repeats the ID63 p.8 regimen. ID24 and SMOG add metronidazole 500 mg IV q8-12h if grossly contaminated. No max stated for this indication (ID24 p.12 footnote: doses up to 12 g daily supported by package insert).</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11</w:t>
      </w:r>
      <w:r>
        <w:rPr>
          <w:sz w:val="16"/>
        </w:rPr>
        <w:t xml:space="preserve"> (PDF page 11) · states: 2 gm IV q6-8h; 5 days or until CSF leak is closed, whichever is longer (preferred agent)</w:t>
      </w:r>
    </w:p>
    <w:p>
      <w:pPr>
        <w:pStyle w:val="BodyText"/>
        <w:bidi w:val="0"/>
        <w:spacing w:before="0" w:after="40"/>
        <w:ind w:hanging="0" w:left="240" w:right="0"/>
        <w:jc w:val="left"/>
        <w:rPr/>
      </w:pPr>
      <w:r>
        <w:rPr/>
        <w:t>“</w:t>
      </w:r>
      <w:r>
        <w:rPr>
          <w:rFonts w:ascii="DejaVu Serif;serif" w:hAnsi="DejaVu Serif;serif"/>
          <w:sz w:val="15"/>
        </w:rPr>
        <w:t>Penetrating brain injury Cefazolin 2 gm IV q6-8h. †‡Consider adding Ceftriaxone 2 gm IV. q24h. Consider adding 5 days or until CSF leak is metronidazole 500 mg IV q8-12h if gross metronidazole 500 mg IV q8-12h if gross closed, whichever is longer”</w:t>
      </w:r>
    </w:p>
    <w:p>
      <w:pPr>
        <w:pStyle w:val="BodyText"/>
        <w:bidi w:val="0"/>
        <w:ind w:hanging="0" w:left="0" w:right="0"/>
        <w:jc w:val="left"/>
        <w:rPr/>
      </w:pPr>
      <w:r>
        <w:rPr/>
        <w:drawing>
          <wp:inline distT="0" distB="0" distL="0" distR="0">
            <wp:extent cx="6583680" cy="548640"/>
            <wp:effectExtent l="0" t="0" r="0" b="0"/>
            <wp:docPr id="108"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pic:cNvPicPr>
                      <a:picLocks noChangeAspect="1" noChangeArrowheads="1"/>
                    </pic:cNvPicPr>
                  </pic:nvPicPr>
                  <pic:blipFill>
                    <a:blip r:embed="rId109"/>
                    <a:srcRect l="-87" t="-1058" r="-87" b="-1058"/>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ID63, Traumatic Brain Injury Management in Prolonged Field Care (06 Dec 2017): printed page </w:t>
      </w:r>
      <w:r>
        <w:rPr>
          <w:b/>
          <w:sz w:val="16"/>
        </w:rPr>
        <w:t>8</w:t>
      </w:r>
      <w:r>
        <w:rPr>
          <w:sz w:val="16"/>
        </w:rPr>
        <w:t xml:space="preserve"> (PDF page 8) · states: 2 g IV/IO every 8 h for 5 days (Best)</w:t>
      </w:r>
    </w:p>
    <w:p>
      <w:pPr>
        <w:pStyle w:val="BodyText"/>
        <w:bidi w:val="0"/>
        <w:spacing w:before="0" w:after="40"/>
        <w:ind w:hanging="0" w:left="240" w:right="0"/>
        <w:jc w:val="left"/>
        <w:rPr/>
      </w:pPr>
      <w:r>
        <w:rPr/>
        <w:t xml:space="preserve">“ </w:t>
      </w:r>
      <w:r>
        <w:rPr>
          <w:rFonts w:ascii="DejaVu Serif;serif" w:hAnsi="DejaVu Serif;serif"/>
          <w:sz w:val="15"/>
        </w:rPr>
        <w:t>Best: Administer CNS-penetrating antibiotics for open or penetrating TBI.  Ceftriaxone 2 gm IV/IO every 24 hours or cefazolin 2g IV/IO every 8 hours for 5 days. .”</w:t>
      </w:r>
    </w:p>
    <w:p>
      <w:pPr>
        <w:pStyle w:val="BodyText"/>
        <w:bidi w:val="0"/>
        <w:ind w:hanging="0" w:left="0" w:right="0"/>
        <w:jc w:val="left"/>
        <w:rPr/>
      </w:pPr>
      <w:r>
        <w:rPr/>
        <w:drawing>
          <wp:inline distT="0" distB="0" distL="0" distR="0">
            <wp:extent cx="6583680" cy="548640"/>
            <wp:effectExtent l="0" t="0" r="0" b="0"/>
            <wp:docPr id="109"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pic:cNvPicPr>
                      <a:picLocks noChangeAspect="1" noChangeArrowheads="1"/>
                    </pic:cNvPicPr>
                  </pic:nvPicPr>
                  <pic:blipFill>
                    <a:blip r:embed="rId110"/>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ID30, TBI Management and Basic Neurosurgery in the Deployed Environment (15 Sep 2023): printed page </w:t>
      </w:r>
      <w:r>
        <w:rPr>
          <w:b/>
          <w:sz w:val="16"/>
        </w:rPr>
        <w:t>7</w:t>
      </w:r>
      <w:r>
        <w:rPr>
          <w:sz w:val="16"/>
        </w:rPr>
        <w:t xml:space="preserve"> (PDF page 7) · states: 2 g IV every 6-8 h; no duration printed</w:t>
      </w:r>
    </w:p>
    <w:p>
      <w:pPr>
        <w:pStyle w:val="BodyText"/>
        <w:bidi w:val="0"/>
        <w:spacing w:before="0" w:after="40"/>
        <w:ind w:hanging="0" w:left="240" w:right="0"/>
        <w:jc w:val="left"/>
        <w:rPr/>
      </w:pPr>
      <w:r>
        <w:rPr/>
        <w:t xml:space="preserve">“ </w:t>
      </w:r>
      <w:r>
        <w:rPr>
          <w:rFonts w:ascii="DejaVu Serif;serif" w:hAnsi="DejaVu Serif;serif"/>
          <w:sz w:val="15"/>
        </w:rPr>
        <w:t>For penetrating brain injuries and open skull fractures, routine prophylactic antibiotics are indicated.26 Antibiotic recommendations for the first level of surgical care include either cefazolin 2gm IV every 6-8 hours or clindamycin 600mg IV every 8 hours. If a penetrating head injury appears grossly”</w:t>
      </w:r>
    </w:p>
    <w:p>
      <w:pPr>
        <w:pStyle w:val="BodyText"/>
        <w:bidi w:val="0"/>
        <w:ind w:hanging="0" w:left="0" w:right="0"/>
        <w:jc w:val="left"/>
        <w:rPr/>
      </w:pPr>
      <w:r>
        <w:rPr/>
        <w:drawing>
          <wp:inline distT="0" distB="0" distL="0" distR="0">
            <wp:extent cx="6583680" cy="548640"/>
            <wp:effectExtent l="0" t="0" r="0" b="0"/>
            <wp:docPr id="110"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pic:cNvPicPr>
                      <a:picLocks noChangeAspect="1" noChangeArrowheads="1"/>
                    </pic:cNvPicPr>
                  </pic:nvPicPr>
                  <pic:blipFill>
                    <a:blip r:embed="rId111"/>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64</w:t>
      </w:r>
      <w:r>
        <w:rPr>
          <w:sz w:val="16"/>
        </w:rPr>
        <w:t xml:space="preserve"> (PDF page 64) · states: 2 g IV q 6-8 h; 5 days or until CSF leak is closed, whichever is longer</w:t>
      </w:r>
    </w:p>
    <w:p>
      <w:pPr>
        <w:pStyle w:val="BodyText"/>
        <w:bidi w:val="0"/>
        <w:spacing w:before="0" w:after="40"/>
        <w:ind w:hanging="0" w:left="240" w:right="0"/>
        <w:jc w:val="left"/>
        <w:rPr/>
      </w:pPr>
      <w:r>
        <w:rPr/>
        <w:t>“</w:t>
      </w:r>
      <w:r>
        <w:rPr>
          <w:rFonts w:ascii="DejaVu Serif;serif" w:hAnsi="DejaVu Serif;serif"/>
          <w:sz w:val="15"/>
        </w:rPr>
        <w:t>CENTRAL NERVOUS SYSTEM WOUNDS Cefazolin, 2g IV q 6-8hrs 5 days or until CSF leak is Penetrating brain injury PLUS (consider) closed, whichever is longer”</w:t>
      </w:r>
    </w:p>
    <w:p>
      <w:pPr>
        <w:pStyle w:val="BodyText"/>
        <w:bidi w:val="0"/>
        <w:ind w:hanging="0" w:left="0" w:right="0"/>
        <w:jc w:val="left"/>
        <w:rPr/>
      </w:pPr>
      <w:r>
        <w:rPr/>
        <w:drawing>
          <wp:inline distT="0" distB="0" distL="0" distR="0">
            <wp:extent cx="6583680" cy="548640"/>
            <wp:effectExtent l="0" t="0" r="0" b="0"/>
            <wp:docPr id="111"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pic:cNvPicPr>
                      <a:picLocks noChangeAspect="1" noChangeArrowheads="1"/>
                    </pic:cNvPicPr>
                  </pic:nvPicPr>
                  <pic:blipFill>
                    <a:blip r:embed="rId112"/>
                    <a:srcRect l="-113" t="-1375" r="-113" b="-1375"/>
                    <a:stretch>
                      <a:fillRect/>
                    </a:stretch>
                  </pic:blipFill>
                  <pic:spPr bwMode="auto">
                    <a:xfrm>
                      <a:off x="0" y="0"/>
                      <a:ext cx="6583680" cy="5486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U02</w:t>
      </w:r>
    </w:p>
    <w:p>
      <w:pPr>
        <w:pStyle w:val="Heading2"/>
        <w:bidi w:val="0"/>
        <w:spacing w:before="40" w:after="80"/>
        <w:ind w:hanging="0" w:left="40" w:right="40"/>
        <w:jc w:val="left"/>
        <w:rPr>
          <w:sz w:val="28"/>
        </w:rPr>
      </w:pPr>
      <w:r>
        <w:rPr>
          <w:sz w:val="28"/>
        </w:rPr>
        <w:t>U02. cefazolin: penetrating spinal cord injury (post-injury antimicrobial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cefazolin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penetrating spinal cord injury (post-injury antimicrobial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 every 6-8 h</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6-8 h</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Duration conflict inside ID15 p.14: the IDSA/SIS statement it cites gives cefazolin 2 g IV q8h for 24-72 h for uncontaminated penetrating spine injury, while the working group recommends a minimum of 5 days or until any CSF leak is closed. Interval also differs: ID24/SMOG q6-8h vs ID15 q8h. ID24 and SMOG print no duration.</w:t>
      </w:r>
    </w:p>
    <w:p>
      <w:pPr>
        <w:pStyle w:val="BodyText"/>
        <w:bidi w:val="0"/>
        <w:spacing w:before="60" w:after="60"/>
        <w:ind w:hanging="0" w:left="60" w:right="60"/>
        <w:jc w:val="left"/>
        <w:rPr>
          <w:sz w:val="15"/>
        </w:rPr>
      </w:pPr>
      <w:r>
        <w:rPr>
          <w:b/>
          <w:sz w:val="15"/>
        </w:rPr>
        <w:t>Note:</w:t>
      </w:r>
      <w:r>
        <w:rPr>
          <w:sz w:val="15"/>
        </w:rPr>
        <w:t xml:space="preserve"> No duration proposed: ID24 p.12 and SMOG p.64 leave the duration blank for this row. ID15's 5-day minimum follows a sentence on contaminated (viscus-traversing) fragments; whether it applies to uncontaminated injuries is unclear on the page. ID24/SMOG add metronidazole 500 mg IV q8-12h if the abdominal cavity is involved. ID24 p.12 weight-based cefazolin footnote applies (1 g &lt; 80 kg, 2 g 81-160 kg, 3 g &gt; 160 kg).</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12</w:t>
      </w:r>
      <w:r>
        <w:rPr>
          <w:sz w:val="16"/>
        </w:rPr>
        <w:t xml:space="preserve"> (PDF page 12) · states: 2 gm IV q6-8h; duration column blank</w:t>
      </w:r>
    </w:p>
    <w:p>
      <w:pPr>
        <w:pStyle w:val="BodyText"/>
        <w:bidi w:val="0"/>
        <w:spacing w:before="0" w:after="40"/>
        <w:ind w:hanging="0" w:left="240" w:right="0"/>
        <w:jc w:val="left"/>
        <w:rPr/>
      </w:pPr>
      <w:r>
        <w:rPr/>
        <w:t>“</w:t>
      </w:r>
      <w:r>
        <w:rPr>
          <w:rFonts w:ascii="DejaVu Serif;serif" w:hAnsi="DejaVu Serif;serif"/>
          <w:sz w:val="15"/>
        </w:rPr>
        <w:t>Penetrating spinal cord Cefazolin, 2 gm IV q6-8h.†‡ ADD metronidazole As above. ADD metronidazole 500 mg IV q8-12h if injury 500 mg IV q8-12h if abdominal cavity is involved abdominal cavity is involved”</w:t>
      </w:r>
    </w:p>
    <w:p>
      <w:pPr>
        <w:pStyle w:val="BodyText"/>
        <w:bidi w:val="0"/>
        <w:ind w:hanging="0" w:left="0" w:right="0"/>
        <w:jc w:val="left"/>
        <w:rPr/>
      </w:pPr>
      <w:r>
        <w:rPr/>
        <w:drawing>
          <wp:inline distT="0" distB="0" distL="0" distR="0">
            <wp:extent cx="6583680" cy="621665"/>
            <wp:effectExtent l="0" t="0" r="0" b="0"/>
            <wp:docPr id="112"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pic:cNvPicPr>
                      <a:picLocks noChangeAspect="1" noChangeArrowheads="1"/>
                    </pic:cNvPicPr>
                  </pic:nvPicPr>
                  <pic:blipFill>
                    <a:blip r:embed="rId113"/>
                    <a:srcRect l="-87" t="-936" r="-87" b="-93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ID15, Cervical and Thoracolumbar Spine Injury Surgical Management and Transport (19 Jun 2020): printed page </w:t>
      </w:r>
      <w:r>
        <w:rPr>
          <w:b/>
          <w:sz w:val="16"/>
        </w:rPr>
        <w:t>14</w:t>
      </w:r>
      <w:r>
        <w:rPr>
          <w:sz w:val="16"/>
        </w:rPr>
        <w:t xml:space="preserve"> (PDF page 14) · states: 2 g IV q8h for 24-72 h (citing the 2011 IDSA/SIS statement), uncontaminated</w:t>
      </w:r>
    </w:p>
    <w:p>
      <w:pPr>
        <w:pStyle w:val="BodyText"/>
        <w:bidi w:val="0"/>
        <w:spacing w:before="0" w:after="40"/>
        <w:ind w:hanging="0" w:left="240" w:right="0"/>
        <w:jc w:val="left"/>
        <w:rPr/>
      </w:pPr>
      <w:r>
        <w:rPr/>
        <w:t>“</w:t>
      </w:r>
      <w:r>
        <w:rPr>
          <w:rFonts w:ascii="DejaVu Serif;serif" w:hAnsi="DejaVu Serif;serif"/>
          <w:sz w:val="15"/>
        </w:rPr>
        <w:t>associated with combat-related injuries.55 This combined statement recommended Cefazolin 2 gm IV q8hrs for 24-72hrs for penetrating spine injuries without evidence of contamination. Fragments passing”</w:t>
      </w:r>
    </w:p>
    <w:p>
      <w:pPr>
        <w:pStyle w:val="BodyText"/>
        <w:bidi w:val="0"/>
        <w:ind w:hanging="0" w:left="0" w:right="0"/>
        <w:jc w:val="left"/>
        <w:rPr/>
      </w:pPr>
      <w:r>
        <w:rPr/>
        <w:drawing>
          <wp:inline distT="0" distB="0" distL="0" distR="0">
            <wp:extent cx="6583680" cy="621665"/>
            <wp:effectExtent l="0" t="0" r="0" b="0"/>
            <wp:docPr id="113"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pic:cNvPicPr>
                      <a:picLocks noChangeAspect="1" noChangeArrowheads="1"/>
                    </pic:cNvPicPr>
                  </pic:nvPicPr>
                  <pic:blipFill>
                    <a:blip r:embed="rId114"/>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ID15, Cervical and Thoracolumbar Spine Injury Surgical Management and Transport (19 Jun 2020): printed page </w:t>
      </w:r>
      <w:r>
        <w:rPr>
          <w:b/>
          <w:sz w:val="16"/>
        </w:rPr>
        <w:t>14</w:t>
      </w:r>
      <w:r>
        <w:rPr>
          <w:sz w:val="16"/>
        </w:rPr>
        <w:t xml:space="preserve"> (PDF page 14) · states: minimum 5 days or until any CSF leak is closed (working group)</w:t>
      </w:r>
    </w:p>
    <w:p>
      <w:pPr>
        <w:pStyle w:val="BodyText"/>
        <w:bidi w:val="0"/>
        <w:spacing w:before="0" w:after="40"/>
        <w:ind w:hanging="0" w:left="240" w:right="0"/>
        <w:jc w:val="left"/>
        <w:rPr/>
      </w:pPr>
      <w:r>
        <w:rPr/>
        <w:t>“</w:t>
      </w:r>
      <w:r>
        <w:rPr>
          <w:rFonts w:ascii="DejaVu Serif;serif" w:hAnsi="DejaVu Serif;serif"/>
          <w:sz w:val="15"/>
        </w:rPr>
        <w:t>treated with Vancomycin 1g IV q12hrs + Ciprofloxacin 400 mg IV q8-12hrs. This working group recommended a minimum antibiotic duration of 5 days or until any CSF leak is closed. Steroids should”</w:t>
      </w:r>
    </w:p>
    <w:p>
      <w:pPr>
        <w:pStyle w:val="BodyText"/>
        <w:bidi w:val="0"/>
        <w:ind w:hanging="0" w:left="0" w:right="0"/>
        <w:jc w:val="left"/>
        <w:rPr/>
      </w:pPr>
      <w:r>
        <w:rPr/>
        <w:drawing>
          <wp:inline distT="0" distB="0" distL="0" distR="0">
            <wp:extent cx="6583680" cy="621665"/>
            <wp:effectExtent l="0" t="0" r="0" b="0"/>
            <wp:docPr id="114"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pic:cNvPicPr>
                      <a:picLocks noChangeAspect="1" noChangeArrowheads="1"/>
                    </pic:cNvPicPr>
                  </pic:nvPicPr>
                  <pic:blipFill>
                    <a:blip r:embed="rId115"/>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64</w:t>
      </w:r>
      <w:r>
        <w:rPr>
          <w:sz w:val="16"/>
        </w:rPr>
        <w:t xml:space="preserve"> (PDF page 64) · states: 2 g IV q 6-8 h; no duration printed for this row</w:t>
      </w:r>
    </w:p>
    <w:p>
      <w:pPr>
        <w:pStyle w:val="BodyText"/>
        <w:bidi w:val="0"/>
        <w:spacing w:before="0" w:after="40"/>
        <w:ind w:hanging="0" w:left="240" w:right="0"/>
        <w:jc w:val="left"/>
        <w:rPr/>
      </w:pPr>
      <w:r>
        <w:rPr/>
        <w:t>“</w:t>
      </w:r>
      <w:r>
        <w:rPr>
          <w:rFonts w:ascii="DejaVu Serif;serif" w:hAnsi="DejaVu Serif;serif"/>
          <w:sz w:val="15"/>
        </w:rPr>
        <w:t>Cefazolin, 2g IV q 6-8hrs Penetrating spinal cord PLUS (consider) injury metronidazole 500 mg q 8-12 hrs”</w:t>
      </w:r>
    </w:p>
    <w:p>
      <w:pPr>
        <w:pStyle w:val="BodyText"/>
        <w:bidi w:val="0"/>
        <w:ind w:hanging="0" w:left="0" w:right="0"/>
        <w:jc w:val="left"/>
        <w:rPr/>
      </w:pPr>
      <w:r>
        <w:rPr/>
        <w:drawing>
          <wp:inline distT="0" distB="0" distL="0" distR="0">
            <wp:extent cx="6583680" cy="621665"/>
            <wp:effectExtent l="0" t="0" r="0" b="0"/>
            <wp:docPr id="115"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pic:cNvPicPr>
                      <a:picLocks noChangeAspect="1" noChangeArrowheads="1"/>
                    </pic:cNvPicPr>
                  </pic:nvPicPr>
                  <pic:blipFill>
                    <a:blip r:embed="rId116"/>
                    <a:srcRect l="-113" t="-1216" r="-113" b="-1216"/>
                    <a:stretch>
                      <a:fillRect/>
                    </a:stretch>
                  </pic:blipFill>
                  <pic:spPr bwMode="auto">
                    <a:xfrm>
                      <a:off x="0" y="0"/>
                      <a:ext cx="6583680" cy="62166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U03</w:t>
      </w:r>
    </w:p>
    <w:p>
      <w:pPr>
        <w:pStyle w:val="Heading2"/>
        <w:bidi w:val="0"/>
        <w:spacing w:before="40" w:after="80"/>
        <w:ind w:hanging="0" w:left="40" w:right="40"/>
        <w:jc w:val="left"/>
        <w:rPr>
          <w:sz w:val="28"/>
        </w:rPr>
      </w:pPr>
      <w:r>
        <w:rPr>
          <w:sz w:val="28"/>
        </w:rPr>
        <w:t>U03. cefazolin: penetrating chest injury (without esophageal disruption) and open maxillofacial fractures (post-injury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cefazolin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penetrating chest injury (without esophageal disruption) and open maxillofacial fractures (post-injury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 every 6-8 h for 24 hours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6-8 h</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Minor: ID24 p.11 and SMOG p.64 give every 6-8 h; SMOG p.103 cefazolin monograph gives every 8 h for 24 h for dirty war wounds of the head and neck, torso and extremities. All agree on 2 g and 24 h.</w:t>
      </w:r>
    </w:p>
    <w:p>
      <w:pPr>
        <w:pStyle w:val="BodyText"/>
        <w:bidi w:val="0"/>
        <w:spacing w:before="60" w:after="60"/>
        <w:ind w:hanging="0" w:left="60" w:right="60"/>
        <w:jc w:val="left"/>
        <w:rPr>
          <w:sz w:val="15"/>
        </w:rPr>
      </w:pPr>
      <w:r>
        <w:rPr>
          <w:b/>
          <w:sz w:val="15"/>
        </w:rPr>
        <w:t>Note:</w:t>
      </w:r>
      <w:r>
        <w:rPr>
          <w:sz w:val="15"/>
        </w:rPr>
        <w:t xml:space="preserve"> SMOG p.64 maxillofacial row also reads 'Cefazolin 2g g q 6-8hrs 24 hours' (typo 'g g' in source). Chest injury WITH esophageal disruption is a different row (add metronidazole; stop 24 h after definitive closure) and is not covered here. ID24 p.12 weight-based footnote applies. The two indications may need splitting into two entries when drafted.</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11</w:t>
      </w:r>
      <w:r>
        <w:rPr>
          <w:sz w:val="16"/>
        </w:rPr>
        <w:t xml:space="preserve"> (PDF page 11) · states: chest without esophageal disruption: 2 gm IV q6-8h, 1 day</w:t>
      </w:r>
    </w:p>
    <w:p>
      <w:pPr>
        <w:pStyle w:val="BodyText"/>
        <w:bidi w:val="0"/>
        <w:spacing w:before="0" w:after="40"/>
        <w:ind w:hanging="0" w:left="240" w:right="0"/>
        <w:jc w:val="left"/>
        <w:rPr/>
      </w:pPr>
      <w:r>
        <w:rPr/>
        <w:t>“</w:t>
      </w:r>
      <w:r>
        <w:rPr>
          <w:rFonts w:ascii="DejaVu Serif;serif" w:hAnsi="DejaVu Serif;serif"/>
          <w:sz w:val="15"/>
        </w:rPr>
        <w:t>Penetrating chest injury Cefazolin, 2 gm IV q6-8h†‡ Clindamycin (450 mg PO TID or 900 mg IV q8h) 1 day without esophageal disruption”</w:t>
      </w:r>
    </w:p>
    <w:p>
      <w:pPr>
        <w:pStyle w:val="BodyText"/>
        <w:bidi w:val="0"/>
        <w:ind w:hanging="0" w:left="0" w:right="0"/>
        <w:jc w:val="left"/>
        <w:rPr/>
      </w:pPr>
      <w:r>
        <w:rPr/>
        <w:drawing>
          <wp:inline distT="0" distB="0" distL="0" distR="0">
            <wp:extent cx="6583680" cy="685800"/>
            <wp:effectExtent l="0" t="0" r="0" b="0"/>
            <wp:docPr id="116"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pic:cNvPicPr>
                      <a:picLocks noChangeAspect="1" noChangeArrowheads="1"/>
                    </pic:cNvPicPr>
                  </pic:nvPicPr>
                  <pic:blipFill>
                    <a:blip r:embed="rId117"/>
                    <a:srcRect l="-87" t="-840" r="-87" b="-840"/>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11</w:t>
      </w:r>
      <w:r>
        <w:rPr>
          <w:sz w:val="16"/>
        </w:rPr>
        <w:t xml:space="preserve"> (PDF page 11) · states: maxillofacial: 2 gm IV q6-8h, 24 hours</w:t>
      </w:r>
    </w:p>
    <w:p>
      <w:pPr>
        <w:pStyle w:val="BodyText"/>
        <w:bidi w:val="0"/>
        <w:spacing w:before="0" w:after="40"/>
        <w:ind w:hanging="0" w:left="240" w:right="0"/>
        <w:jc w:val="left"/>
        <w:rPr/>
      </w:pPr>
      <w:r>
        <w:rPr/>
        <w:t>“</w:t>
      </w:r>
      <w:r>
        <w:rPr>
          <w:rFonts w:ascii="DejaVu Serif;serif" w:hAnsi="DejaVu Serif;serif"/>
          <w:sz w:val="15"/>
        </w:rPr>
        <w:t>Open maxillofacial fractures, Cefazolin, 2 gm IV q6-8h†‡ Clindamycin 900 mg IV q8h 24 hours or maxillofacial fractures with foreign body or fixation device”</w:t>
      </w:r>
    </w:p>
    <w:p>
      <w:pPr>
        <w:pStyle w:val="BodyText"/>
        <w:bidi w:val="0"/>
        <w:ind w:hanging="0" w:left="0" w:right="0"/>
        <w:jc w:val="left"/>
        <w:rPr/>
      </w:pPr>
      <w:r>
        <w:rPr/>
        <w:drawing>
          <wp:inline distT="0" distB="0" distL="0" distR="0">
            <wp:extent cx="6583680" cy="685800"/>
            <wp:effectExtent l="0" t="0" r="0" b="0"/>
            <wp:docPr id="117"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pic:cNvPicPr>
                      <a:picLocks noChangeAspect="1" noChangeArrowheads="1"/>
                    </pic:cNvPicPr>
                  </pic:nvPicPr>
                  <pic:blipFill>
                    <a:blip r:embed="rId118"/>
                    <a:srcRect l="-87" t="-840" r="-87" b="-840"/>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64</w:t>
      </w:r>
      <w:r>
        <w:rPr>
          <w:sz w:val="16"/>
        </w:rPr>
        <w:t xml:space="preserve"> (PDF page 64) · states: chest: 2 g q 6-8 h, 24 hours</w:t>
      </w:r>
    </w:p>
    <w:p>
      <w:pPr>
        <w:pStyle w:val="BodyText"/>
        <w:bidi w:val="0"/>
        <w:spacing w:before="0" w:after="40"/>
        <w:ind w:hanging="0" w:left="240" w:right="0"/>
        <w:jc w:val="left"/>
        <w:rPr/>
      </w:pPr>
      <w:r>
        <w:rPr/>
        <w:t>“</w:t>
      </w:r>
      <w:r>
        <w:rPr>
          <w:rFonts w:ascii="DejaVu Serif;serif" w:hAnsi="DejaVu Serif;serif"/>
          <w:sz w:val="15"/>
        </w:rPr>
        <w:t>THORACIC WOUNDS Penetrating chest injury Cefazolin 2g q 6-8hrs 24 hours”</w:t>
      </w:r>
    </w:p>
    <w:p>
      <w:pPr>
        <w:pStyle w:val="BodyText"/>
        <w:bidi w:val="0"/>
        <w:ind w:hanging="0" w:left="0" w:right="0"/>
        <w:jc w:val="left"/>
        <w:rPr/>
      </w:pPr>
      <w:r>
        <w:rPr/>
        <w:drawing>
          <wp:inline distT="0" distB="0" distL="0" distR="0">
            <wp:extent cx="6583680" cy="685800"/>
            <wp:effectExtent l="0" t="0" r="0" b="0"/>
            <wp:docPr id="118"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pic:cNvPicPr>
                      <a:picLocks noChangeAspect="1" noChangeArrowheads="1"/>
                    </pic:cNvPicPr>
                  </pic:nvPicPr>
                  <pic:blipFill>
                    <a:blip r:embed="rId119"/>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103</w:t>
      </w:r>
      <w:r>
        <w:rPr>
          <w:sz w:val="16"/>
        </w:rPr>
        <w:t xml:space="preserve"> (PDF page 103) · states: 2 g IV every 8 h for 24 h for most dirty wounds of head and neck, torso, extremities</w:t>
      </w:r>
    </w:p>
    <w:p>
      <w:pPr>
        <w:pStyle w:val="BodyText"/>
        <w:bidi w:val="0"/>
        <w:spacing w:before="0" w:after="40"/>
        <w:ind w:hanging="0" w:left="240" w:right="0"/>
        <w:jc w:val="left"/>
        <w:rPr/>
      </w:pPr>
      <w:r>
        <w:rPr/>
        <w:t>“</w:t>
      </w:r>
      <w:r>
        <w:rPr>
          <w:rFonts w:ascii="DejaVu Serif;serif" w:hAnsi="DejaVu Serif;serif"/>
          <w:sz w:val="15"/>
        </w:rPr>
        <w:t>War wounds (dirty wounds), 2g in 250 mL NS IV over 5 min every 8 hours for 24 hours is adequate for most dirty wounds of the head and neck, torso, and extremities.”</w:t>
      </w:r>
    </w:p>
    <w:p>
      <w:pPr>
        <w:pStyle w:val="BodyText"/>
        <w:bidi w:val="0"/>
        <w:ind w:hanging="0" w:left="0" w:right="0"/>
        <w:jc w:val="left"/>
        <w:rPr/>
      </w:pPr>
      <w:r>
        <w:rPr/>
        <w:drawing>
          <wp:inline distT="0" distB="0" distL="0" distR="0">
            <wp:extent cx="6583680" cy="685800"/>
            <wp:effectExtent l="0" t="0" r="0" b="0"/>
            <wp:docPr id="119"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9" descr=""/>
                    <pic:cNvPicPr>
                      <a:picLocks noChangeAspect="1" noChangeArrowheads="1"/>
                    </pic:cNvPicPr>
                  </pic:nvPicPr>
                  <pic:blipFill>
                    <a:blip r:embed="rId120"/>
                    <a:srcRect l="-113" t="-1091" r="-113" b="-1091"/>
                    <a:stretch>
                      <a:fillRect/>
                    </a:stretch>
                  </pic:blipFill>
                  <pic:spPr bwMode="auto">
                    <a:xfrm>
                      <a:off x="0" y="0"/>
                      <a:ext cx="6583680" cy="68580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U04</w:t>
      </w:r>
    </w:p>
    <w:p>
      <w:pPr>
        <w:pStyle w:val="Heading2"/>
        <w:bidi w:val="0"/>
        <w:spacing w:before="40" w:after="80"/>
        <w:ind w:hanging="0" w:left="40" w:right="40"/>
        <w:jc w:val="left"/>
        <w:rPr>
          <w:sz w:val="28"/>
        </w:rPr>
      </w:pPr>
      <w:r>
        <w:rPr>
          <w:sz w:val="28"/>
        </w:rPr>
        <w:t>U04. cefazolin: single pre-surgical dose for open wounds, Role 1 and Role 2 without surgical support</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cefazolin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single pre-surgical dose for open wounds, Role 1 and Role 2 without surgical support</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 x 1 dose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single dose</w:t>
            </w:r>
          </w:p>
        </w:tc>
      </w:tr>
    </w:tbl>
    <w:p>
      <w:pPr>
        <w:pStyle w:val="BodyText"/>
        <w:bidi w:val="0"/>
        <w:spacing w:before="60" w:after="60"/>
        <w:ind w:hanging="0" w:left="60" w:right="60"/>
        <w:jc w:val="left"/>
        <w:rPr>
          <w:sz w:val="15"/>
        </w:rPr>
      </w:pPr>
      <w:r>
        <w:rPr>
          <w:b/>
          <w:sz w:val="15"/>
        </w:rPr>
        <w:t>Note:</w:t>
      </w:r>
      <w:r>
        <w:rPr>
          <w:sz w:val="15"/>
        </w:rPr>
        <w:t xml:space="preserve"> Single source. The line sits in the 'Debridement and irrigation' cell of the Role 1 / Role 2 without surgical support row of ID24 Appendix A Table 1, so the quote spans that cell. The same table's Role 1 row and Appendix B (p.12) give oral moxifloxacin 400 mg x1 / ertapenem 1 g as the point-of-injury option when evacuation is delayed; that is a different indication. No SMOG or NASEMSO line found for this indication.</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9</w:t>
      </w:r>
      <w:r>
        <w:rPr>
          <w:sz w:val="16"/>
        </w:rPr>
        <w:t xml:space="preserve"> (PDF page 9) · states: 2 gm IV x 1 dose</w:t>
      </w:r>
    </w:p>
    <w:p>
      <w:pPr>
        <w:pStyle w:val="BodyText"/>
        <w:bidi w:val="0"/>
        <w:spacing w:before="0" w:after="40"/>
        <w:ind w:hanging="0" w:left="240" w:right="0"/>
        <w:jc w:val="left"/>
        <w:rPr/>
      </w:pPr>
      <w:r>
        <w:rPr/>
        <w:t>“</w:t>
      </w:r>
      <w:r>
        <w:rPr>
          <w:rFonts w:ascii="DejaVu Serif;serif" w:hAnsi="DejaVu Serif;serif"/>
          <w:sz w:val="15"/>
        </w:rPr>
        <w:t>Debridement • Irrigate minor wounds to remove gross contamination with normal saline, sterile, or potable water without and irrigation additives. • Debridement and irrigation of large wounds should be done at a surgical facility (Role 2b or 3). • Do not attempt to remove retained deep soft tissue fragments meeting criteria listed above. • Provide cefazolin 2 gm IV x 1 dose.”</w:t>
      </w:r>
    </w:p>
    <w:p>
      <w:pPr>
        <w:pStyle w:val="BodyText"/>
        <w:bidi w:val="0"/>
        <w:ind w:hanging="0" w:left="0" w:right="0"/>
        <w:jc w:val="left"/>
        <w:rPr/>
      </w:pPr>
      <w:r>
        <w:rPr/>
        <w:drawing>
          <wp:inline distT="0" distB="0" distL="0" distR="0">
            <wp:extent cx="6583680" cy="2377440"/>
            <wp:effectExtent l="0" t="0" r="0" b="0"/>
            <wp:docPr id="120"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0" descr=""/>
                    <pic:cNvPicPr>
                      <a:picLocks noChangeAspect="1" noChangeArrowheads="1"/>
                    </pic:cNvPicPr>
                  </pic:nvPicPr>
                  <pic:blipFill>
                    <a:blip r:embed="rId121"/>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U05</w:t>
      </w:r>
    </w:p>
    <w:p>
      <w:pPr>
        <w:pStyle w:val="Heading2"/>
        <w:bidi w:val="0"/>
        <w:spacing w:before="40" w:after="80"/>
        <w:ind w:hanging="0" w:left="40" w:right="40"/>
        <w:jc w:val="left"/>
        <w:rPr>
          <w:sz w:val="28"/>
        </w:rPr>
      </w:pPr>
      <w:r>
        <w:rPr>
          <w:sz w:val="28"/>
        </w:rPr>
        <w:t>U05. cefazolin: ventriculostomy in place (prophylaxis; Role 3 neurosurgical)</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cefazolin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ventriculostomy in place (prophylaxis; Role 3 neurosurgical)</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 g IV TID while ventriculostomy is in place (neurosurgeon's discretion); not required if an antibiotic-impregnated ventriculostomy is used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three times daily (TID)</w:t>
            </w:r>
          </w:p>
        </w:tc>
      </w:tr>
    </w:tbl>
    <w:p>
      <w:pPr>
        <w:pStyle w:val="BodyText"/>
        <w:bidi w:val="0"/>
        <w:spacing w:before="60" w:after="60"/>
        <w:ind w:hanging="0" w:left="60" w:right="60"/>
        <w:jc w:val="left"/>
        <w:rPr>
          <w:sz w:val="15"/>
        </w:rPr>
      </w:pPr>
      <w:r>
        <w:rPr>
          <w:b/>
          <w:sz w:val="15"/>
        </w:rPr>
        <w:t>Note:</w:t>
      </w:r>
      <w:r>
        <w:rPr>
          <w:sz w:val="15"/>
        </w:rPr>
        <w:t xml:space="preserve"> Both ID30 pages agree. Drug is named by trade name Ancef. Role 3 neurosurgical indication; duration is 'while ventriculostomy is in place'. No SMOG or NASEMSO line.</w:t>
      </w:r>
    </w:p>
    <w:p>
      <w:pPr>
        <w:pStyle w:val="BodyText"/>
        <w:bidi w:val="0"/>
        <w:spacing w:before="80" w:after="20"/>
        <w:ind w:hanging="0" w:left="80" w:right="80"/>
        <w:jc w:val="left"/>
        <w:rPr>
          <w:sz w:val="16"/>
        </w:rPr>
      </w:pPr>
      <w:r>
        <w:rPr>
          <w:b/>
          <w:sz w:val="16"/>
        </w:rPr>
        <w:t>JTS</w:t>
      </w:r>
      <w:r>
        <w:rPr>
          <w:sz w:val="16"/>
        </w:rPr>
        <w:t xml:space="preserve"> · JTS CPG ID30, TBI Management and Basic Neurosurgery in the Deployed Environment (15 Sep 2023): printed page </w:t>
      </w:r>
      <w:r>
        <w:rPr>
          <w:b/>
          <w:sz w:val="16"/>
        </w:rPr>
        <w:t>13</w:t>
      </w:r>
      <w:r>
        <w:rPr>
          <w:sz w:val="16"/>
        </w:rPr>
        <w:t xml:space="preserve"> (PDF page 13) · states: Ancef (cefazolin) 1 g IV TID</w:t>
      </w:r>
    </w:p>
    <w:p>
      <w:pPr>
        <w:pStyle w:val="BodyText"/>
        <w:bidi w:val="0"/>
        <w:spacing w:before="0" w:after="40"/>
        <w:ind w:hanging="0" w:left="240" w:right="0"/>
        <w:jc w:val="left"/>
        <w:rPr/>
      </w:pPr>
      <w:r>
        <w:rPr/>
        <w:t>“</w:t>
      </w:r>
      <w:r>
        <w:rPr>
          <w:rFonts w:ascii="DejaVu Serif;serif" w:hAnsi="DejaVu Serif;serif"/>
          <w:sz w:val="15"/>
        </w:rPr>
        <w:t>If using antibiotic impregnated ventriculostomy, then no IV prophylactic antibiotics required. Otherwise, Ancef 1gm IV TID may be prescribed while ventriculostomy is in place (neurosurgeon’s discretion).”</w:t>
      </w:r>
    </w:p>
    <w:p>
      <w:pPr>
        <w:pStyle w:val="BodyText"/>
        <w:bidi w:val="0"/>
        <w:ind w:hanging="0" w:left="0" w:right="0"/>
        <w:jc w:val="left"/>
        <w:rPr/>
      </w:pPr>
      <w:r>
        <w:rPr/>
        <w:drawing>
          <wp:inline distT="0" distB="0" distL="0" distR="0">
            <wp:extent cx="6583680" cy="1984375"/>
            <wp:effectExtent l="0" t="0" r="0" b="0"/>
            <wp:docPr id="121"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1" descr=""/>
                    <pic:cNvPicPr>
                      <a:picLocks noChangeAspect="1" noChangeArrowheads="1"/>
                    </pic:cNvPicPr>
                  </pic:nvPicPr>
                  <pic:blipFill>
                    <a:blip r:embed="rId122"/>
                    <a:srcRect l="-113" t="-375" r="-113" b="-375"/>
                    <a:stretch>
                      <a:fillRect/>
                    </a:stretch>
                  </pic:blipFill>
                  <pic:spPr bwMode="auto">
                    <a:xfrm>
                      <a:off x="0" y="0"/>
                      <a:ext cx="6583680" cy="198437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ID30, TBI Management and Basic Neurosurgery in the Deployed Environment (15 Sep 2023): printed page </w:t>
      </w:r>
      <w:r>
        <w:rPr>
          <w:b/>
          <w:sz w:val="16"/>
        </w:rPr>
        <w:t>23</w:t>
      </w:r>
      <w:r>
        <w:rPr>
          <w:sz w:val="16"/>
        </w:rPr>
        <w:t xml:space="preserve"> (PDF page 23) · states: Ancef (cefazolin) 1 g IV TID</w:t>
      </w:r>
    </w:p>
    <w:p>
      <w:pPr>
        <w:pStyle w:val="BodyText"/>
        <w:bidi w:val="0"/>
        <w:spacing w:before="0" w:after="40"/>
        <w:ind w:hanging="0" w:left="240" w:right="0"/>
        <w:jc w:val="left"/>
        <w:rPr/>
      </w:pPr>
      <w:r>
        <w:rPr/>
        <w:t>“</w:t>
      </w:r>
      <w:r>
        <w:rPr>
          <w:rFonts w:ascii="DejaVu Serif;serif" w:hAnsi="DejaVu Serif;serif"/>
          <w:sz w:val="15"/>
        </w:rPr>
        <w:t>If using antibiotic impregnated ventriculostomy, then no IV prophylactic antibiotics required. ANTIBIOTICS Otherwise, Ancef 1 gm IV TID while ventriculostomy is in place (neurosurgeons’ discretion). For all”</w:t>
      </w:r>
    </w:p>
    <w:p>
      <w:pPr>
        <w:pStyle w:val="BodyText"/>
        <w:bidi w:val="0"/>
        <w:ind w:hanging="0" w:left="0" w:right="0"/>
        <w:jc w:val="left"/>
        <w:rPr/>
      </w:pPr>
      <w:r>
        <w:rPr/>
        <w:drawing>
          <wp:inline distT="0" distB="0" distL="0" distR="0">
            <wp:extent cx="6583680" cy="1984375"/>
            <wp:effectExtent l="0" t="0" r="0" b="0"/>
            <wp:docPr id="122"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 descr=""/>
                    <pic:cNvPicPr>
                      <a:picLocks noChangeAspect="1" noChangeArrowheads="1"/>
                    </pic:cNvPicPr>
                  </pic:nvPicPr>
                  <pic:blipFill>
                    <a:blip r:embed="rId123"/>
                    <a:srcRect l="-113" t="-375" r="-113" b="-375"/>
                    <a:stretch>
                      <a:fillRect/>
                    </a:stretch>
                  </pic:blipFill>
                  <pic:spPr bwMode="auto">
                    <a:xfrm>
                      <a:off x="0" y="0"/>
                      <a:ext cx="6583680" cy="198437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U06</w:t>
      </w:r>
    </w:p>
    <w:p>
      <w:pPr>
        <w:pStyle w:val="Heading2"/>
        <w:bidi w:val="0"/>
        <w:spacing w:before="40" w:after="80"/>
        <w:ind w:hanging="0" w:left="40" w:right="40"/>
        <w:jc w:val="left"/>
        <w:rPr>
          <w:sz w:val="28"/>
        </w:rPr>
      </w:pPr>
      <w:r>
        <w:rPr>
          <w:sz w:val="28"/>
        </w:rPr>
        <w:t>U06. ceftriaxone: open or penetrating TBI (CNS-penetrating antimicrobial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ceftriaxone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open or penetrating TBI (CNS-penetrating antimicrobial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IV/IO</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IV/IO every 24 hours for 5 days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24 h</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Duration differs: ID63 p.8 and p.20 say 5 days (the 'for 5 days' sits after the cefazolin clause, so it may apply to both or to cefazolin only); ID24 p.11 says 5 days or until the CSF leak is closed, whichever is longer. Status differs: ID63 lists ceftriaxone as 'Best'; ID24 lists it as the alternate agent (cefazolin preferred). Route: ID63 IV/IO; ID24 IV only.</w:t>
      </w:r>
    </w:p>
    <w:p>
      <w:pPr>
        <w:pStyle w:val="BodyText"/>
        <w:bidi w:val="0"/>
        <w:spacing w:before="60" w:after="60"/>
        <w:ind w:hanging="0" w:left="60" w:right="60"/>
        <w:jc w:val="left"/>
        <w:rPr>
          <w:sz w:val="15"/>
        </w:rPr>
      </w:pPr>
      <w:r>
        <w:rPr>
          <w:b/>
          <w:sz w:val="15"/>
        </w:rPr>
        <w:t>Note:</w:t>
      </w:r>
      <w:r>
        <w:rPr>
          <w:sz w:val="15"/>
        </w:rPr>
        <w:t xml:space="preserve"> Proposal follows ID63 (the only page stating IV/IO). Owner to choose duration. Add metronidazole 500 mg IV/IO every 8 h if grossly contaminated (ID63). ID15 p.14 gives ceftriaxone 2 g IV q24h + metronidazole for contaminated penetrating spine injury (different indication). No SMOG line for ceftriaxone in TBI (SMOG p.64 lists cefazolin only). Max not stated.</w:t>
      </w:r>
    </w:p>
    <w:p>
      <w:pPr>
        <w:pStyle w:val="BodyText"/>
        <w:bidi w:val="0"/>
        <w:spacing w:before="80" w:after="20"/>
        <w:ind w:hanging="0" w:left="80" w:right="80"/>
        <w:jc w:val="left"/>
        <w:rPr>
          <w:sz w:val="16"/>
        </w:rPr>
      </w:pPr>
      <w:r>
        <w:rPr>
          <w:b/>
          <w:sz w:val="16"/>
        </w:rPr>
        <w:t>JTS</w:t>
      </w:r>
      <w:r>
        <w:rPr>
          <w:sz w:val="16"/>
        </w:rPr>
        <w:t xml:space="preserve"> · JTS CPG ID63, Traumatic Brain Injury Management in Prolonged Field Care (06 Dec 2017): printed page </w:t>
      </w:r>
      <w:r>
        <w:rPr>
          <w:b/>
          <w:sz w:val="16"/>
        </w:rPr>
        <w:t>8</w:t>
      </w:r>
      <w:r>
        <w:rPr>
          <w:sz w:val="16"/>
        </w:rPr>
        <w:t xml:space="preserve"> (PDF page 8) · states: 2 g IV/IO every 24 h (Best); '5 days' printed at end of sentence</w:t>
      </w:r>
    </w:p>
    <w:p>
      <w:pPr>
        <w:pStyle w:val="BodyText"/>
        <w:bidi w:val="0"/>
        <w:spacing w:before="0" w:after="40"/>
        <w:ind w:hanging="0" w:left="240" w:right="0"/>
        <w:jc w:val="left"/>
        <w:rPr/>
      </w:pPr>
      <w:r>
        <w:rPr/>
        <w:t xml:space="preserve">“ </w:t>
      </w:r>
      <w:r>
        <w:rPr>
          <w:rFonts w:ascii="DejaVu Serif;serif" w:hAnsi="DejaVu Serif;serif"/>
          <w:sz w:val="15"/>
        </w:rPr>
        <w:t>Best: Administer CNS-penetrating antibiotics for open or penetrating TBI.  Ceftriaxone 2 gm IV/IO every 24 hours or cefazolin 2g IV/IO every 8 hours for 5 days. .”</w:t>
      </w:r>
    </w:p>
    <w:p>
      <w:pPr>
        <w:pStyle w:val="BodyText"/>
        <w:bidi w:val="0"/>
        <w:ind w:hanging="0" w:left="0" w:right="0"/>
        <w:jc w:val="left"/>
        <w:rPr/>
      </w:pPr>
      <w:r>
        <w:rPr/>
        <w:drawing>
          <wp:inline distT="0" distB="0" distL="0" distR="0">
            <wp:extent cx="6583680" cy="484505"/>
            <wp:effectExtent l="0" t="0" r="0" b="0"/>
            <wp:docPr id="123"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3" descr=""/>
                    <pic:cNvPicPr>
                      <a:picLocks noChangeAspect="1" noChangeArrowheads="1"/>
                    </pic:cNvPicPr>
                  </pic:nvPicPr>
                  <pic:blipFill>
                    <a:blip r:embed="rId124"/>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ID63, Traumatic Brain Injury Management in Prolonged Field Care (06 Dec 2017): printed page </w:t>
      </w:r>
      <w:r>
        <w:rPr>
          <w:b/>
          <w:sz w:val="16"/>
        </w:rPr>
        <w:t>20</w:t>
      </w:r>
      <w:r>
        <w:rPr>
          <w:sz w:val="16"/>
        </w:rPr>
        <w:t xml:space="preserve"> (PDF page 20) · states: 2 g IV/IO every 24 h (BEST column)</w:t>
      </w:r>
    </w:p>
    <w:p>
      <w:pPr>
        <w:pStyle w:val="BodyText"/>
        <w:bidi w:val="0"/>
        <w:spacing w:before="0" w:after="40"/>
        <w:ind w:hanging="0" w:left="240" w:right="0"/>
        <w:jc w:val="left"/>
        <w:rPr/>
      </w:pPr>
      <w:r>
        <w:rPr/>
        <w:t>“</w:t>
      </w:r>
      <w:r>
        <w:rPr>
          <w:rFonts w:ascii="DejaVu Serif;serif" w:hAnsi="DejaVu Serif;serif"/>
          <w:sz w:val="15"/>
        </w:rPr>
        <w:t>Dress all wounds and Dress all wounds to prevent further Ertapenem 1g IV/IO every 24 Use an antibiotic with strong CNS administer antibiotic introduction of infection. Optimize wound hours and moxifloxacin 400mg PO penetration. prophylaxis for penetrating care and patient hygiene to extent possible. every 24 hours for 5 days.  Ceftriaxone 2 gm IV/IO every 24 hours or brain injuries and open cefazolin 2g IV/IO every 8 hours for 5”</w:t>
      </w:r>
    </w:p>
    <w:p>
      <w:pPr>
        <w:pStyle w:val="BodyText"/>
        <w:bidi w:val="0"/>
        <w:ind w:hanging="0" w:left="0" w:right="0"/>
        <w:jc w:val="left"/>
        <w:rPr/>
      </w:pPr>
      <w:r>
        <w:rPr/>
        <w:drawing>
          <wp:inline distT="0" distB="0" distL="0" distR="0">
            <wp:extent cx="6583680" cy="484505"/>
            <wp:effectExtent l="0" t="0" r="0" b="0"/>
            <wp:docPr id="124" name="Image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4" descr=""/>
                    <pic:cNvPicPr>
                      <a:picLocks noChangeAspect="1" noChangeArrowheads="1"/>
                    </pic:cNvPicPr>
                  </pic:nvPicPr>
                  <pic:blipFill>
                    <a:blip r:embed="rId125"/>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11</w:t>
      </w:r>
      <w:r>
        <w:rPr>
          <w:sz w:val="16"/>
        </w:rPr>
        <w:t xml:space="preserve"> (PDF page 11) · states: alternate agent: 2 gm IV q24h; 5 days or until CSF leak is closed, whichever is longer</w:t>
      </w:r>
    </w:p>
    <w:p>
      <w:pPr>
        <w:pStyle w:val="BodyText"/>
        <w:bidi w:val="0"/>
        <w:spacing w:before="0" w:after="40"/>
        <w:ind w:hanging="0" w:left="240" w:right="0"/>
        <w:jc w:val="left"/>
        <w:rPr/>
      </w:pPr>
      <w:r>
        <w:rPr/>
        <w:t>“</w:t>
      </w:r>
      <w:r>
        <w:rPr>
          <w:rFonts w:ascii="DejaVu Serif;serif" w:hAnsi="DejaVu Serif;serif"/>
          <w:sz w:val="15"/>
        </w:rPr>
        <w:t>Penetrating brain injury Cefazolin 2 gm IV q6-8h. †‡Consider adding Ceftriaxone 2 gm IV. q24h. Consider adding 5 days or until CSF leak is metronidazole 500 mg IV q8-12h if gross metronidazole 500 mg IV q8-12h if gross closed, whichever is longer”</w:t>
      </w:r>
    </w:p>
    <w:p>
      <w:pPr>
        <w:pStyle w:val="BodyText"/>
        <w:bidi w:val="0"/>
        <w:ind w:hanging="0" w:left="0" w:right="0"/>
        <w:jc w:val="left"/>
        <w:rPr/>
      </w:pPr>
      <w:r>
        <w:rPr/>
        <w:drawing>
          <wp:inline distT="0" distB="0" distL="0" distR="0">
            <wp:extent cx="6583680" cy="484505"/>
            <wp:effectExtent l="0" t="0" r="0" b="0"/>
            <wp:docPr id="125"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5" descr=""/>
                    <pic:cNvPicPr>
                      <a:picLocks noChangeAspect="1" noChangeArrowheads="1"/>
                    </pic:cNvPicPr>
                  </pic:nvPicPr>
                  <pic:blipFill>
                    <a:blip r:embed="rId126"/>
                    <a:srcRect l="-87" t="-1203" r="-87" b="-1203"/>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38</w:t>
      </w:r>
      <w:r>
        <w:rPr>
          <w:sz w:val="16"/>
        </w:rPr>
        <w:t xml:space="preserve"> (PDF page 38) · states: no number: ceftriaxone IV/IO + metronidazole named (Better column) without dose</w:t>
      </w:r>
    </w:p>
    <w:p>
      <w:pPr>
        <w:pStyle w:val="BodyText"/>
        <w:bidi w:val="0"/>
        <w:spacing w:before="0" w:after="40"/>
        <w:ind w:hanging="0" w:left="240" w:right="0"/>
        <w:jc w:val="left"/>
        <w:rPr/>
      </w:pPr>
      <w:r>
        <w:rPr/>
        <w:t>“</w:t>
      </w:r>
      <w:r>
        <w:rPr>
          <w:rFonts w:ascii="DejaVu Serif;serif" w:hAnsi="DejaVu Serif;serif"/>
          <w:sz w:val="15"/>
        </w:rPr>
        <w:t>Penetrating Head Injury Ceftriaxone IV/IO + Ertapenem IV/IO or Metronidazole IV/IO Moxifloxacin PO”</w:t>
      </w:r>
    </w:p>
    <w:p>
      <w:pPr>
        <w:pStyle w:val="BodyText"/>
        <w:bidi w:val="0"/>
        <w:ind w:hanging="0" w:left="0" w:right="0"/>
        <w:jc w:val="left"/>
        <w:rPr/>
      </w:pPr>
      <w:r>
        <w:rPr/>
        <w:drawing>
          <wp:inline distT="0" distB="0" distL="0" distR="0">
            <wp:extent cx="6583680" cy="484505"/>
            <wp:effectExtent l="0" t="0" r="0" b="0"/>
            <wp:docPr id="126"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6" descr=""/>
                    <pic:cNvPicPr>
                      <a:picLocks noChangeAspect="1" noChangeArrowheads="1"/>
                    </pic:cNvPicPr>
                  </pic:nvPicPr>
                  <pic:blipFill>
                    <a:blip r:embed="rId127"/>
                    <a:srcRect l="-113" t="-1556" r="-113" b="-1556"/>
                    <a:stretch>
                      <a:fillRect/>
                    </a:stretch>
                  </pic:blipFill>
                  <pic:spPr bwMode="auto">
                    <a:xfrm>
                      <a:off x="0" y="0"/>
                      <a:ext cx="6583680" cy="484505"/>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U07</w:t>
      </w:r>
    </w:p>
    <w:p>
      <w:pPr>
        <w:pStyle w:val="Heading2"/>
        <w:bidi w:val="0"/>
        <w:spacing w:before="40" w:after="80"/>
        <w:ind w:hanging="0" w:left="40" w:right="40"/>
        <w:jc w:val="left"/>
        <w:rPr>
          <w:sz w:val="28"/>
        </w:rPr>
      </w:pPr>
      <w:r>
        <w:rPr>
          <w:sz w:val="28"/>
        </w:rPr>
        <w:t>U07. ceftriaxone: penetrating TBI / CNS injury (post-injury prophylaxis)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ceftriaxone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penetrating TBI / CNS injury (post-injury prophylaxis)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100 mg/kg/day IV divided every 12-24 h</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divided every 12-24 h</w:t>
            </w:r>
          </w:p>
        </w:tc>
      </w:tr>
    </w:tbl>
    <w:p>
      <w:pPr>
        <w:pStyle w:val="BodyText"/>
        <w:bidi w:val="0"/>
        <w:spacing w:before="60" w:after="60"/>
        <w:ind w:hanging="0" w:left="60" w:right="60"/>
        <w:jc w:val="left"/>
        <w:rPr>
          <w:sz w:val="15"/>
        </w:rPr>
      </w:pPr>
      <w:r>
        <w:rPr>
          <w:b/>
          <w:sz w:val="15"/>
        </w:rPr>
        <w:t>Note:</w:t>
      </w:r>
      <w:r>
        <w:rPr>
          <w:sz w:val="15"/>
        </w:rPr>
        <w:t xml:space="preserve"> Single source: ID24 p.12 pediatric-dosing footnote (double dagger) to Appendix B table. No maximum or cap printed for ceftriaxone (the '1 gm/day' maximum on the same line belongs to ertapenem). Duration follows the table row (5 days or until CSF leak is closed, whichever is longer) but the footnote itself states no duration. No SMOG pediatric ceftriaxone dose found.</w:t>
      </w:r>
    </w:p>
    <w:p>
      <w:pPr>
        <w:pStyle w:val="BodyText"/>
        <w:bidi w:val="0"/>
        <w:spacing w:before="80" w:after="20"/>
        <w:ind w:hanging="0" w:left="80" w:right="80"/>
        <w:jc w:val="left"/>
        <w:rPr>
          <w:sz w:val="16"/>
        </w:rPr>
      </w:pPr>
      <w:r>
        <w:rPr>
          <w:b/>
          <w:sz w:val="16"/>
        </w:rPr>
        <w:t>JTS</w:t>
      </w:r>
      <w:r>
        <w:rPr>
          <w:sz w:val="16"/>
        </w:rPr>
        <w:t xml:space="preserve"> · JTS CPG ID24, Infection Prevention in Combat-related Injuries (27 Jan 2021): printed page </w:t>
      </w:r>
      <w:r>
        <w:rPr>
          <w:b/>
          <w:sz w:val="16"/>
        </w:rPr>
        <w:t>12</w:t>
      </w:r>
      <w:r>
        <w:rPr>
          <w:sz w:val="16"/>
        </w:rPr>
        <w:t xml:space="preserve"> (PDF page 12) · states: 100 mg/kg/day IV divided q12-24h (dosing for CNS injury)</w:t>
      </w:r>
    </w:p>
    <w:p>
      <w:pPr>
        <w:pStyle w:val="BodyText"/>
        <w:bidi w:val="0"/>
        <w:spacing w:before="0" w:after="40"/>
        <w:ind w:hanging="0" w:left="240" w:right="0"/>
        <w:jc w:val="left"/>
        <w:rPr/>
      </w:pPr>
      <w:r>
        <w:rPr/>
        <w:t>“‡</w:t>
      </w:r>
      <w:r>
        <w:rPr>
          <w:rFonts w:ascii="DejaVu Serif;serif" w:hAnsi="DejaVu Serif;serif"/>
          <w:sz w:val="15"/>
        </w:rPr>
        <w:t>Pediatric dosing: cefazolin, 20-30 mg/kg IV q6-8h (maximum, 100 mg/kg/day); metronidazole, 7.5 mg/kg IV q6h; clindamycin 25-40mg/kg/day IV divided q6- 8h; ertapenem, 15 mg/kg IV or IM q12 (children up to 12 years) or 20 mg/kg IV or IM once daily (children over 12 years; maximum, 1 gm/day); ceftriaxone, 100 mg/kg/day IV divided q12-24h (dosing for CNS injury); levofloxacin, 8 mg/kg IV or PO q12h (levofloxacin is only FDA-approved in children for prophylaxis of inhalational anthrax in children &gt; 6 months of age,”</w:t>
      </w:r>
    </w:p>
    <w:p>
      <w:pPr>
        <w:pStyle w:val="BodyText"/>
        <w:bidi w:val="0"/>
        <w:ind w:hanging="0" w:left="0" w:right="0"/>
        <w:jc w:val="left"/>
        <w:rPr/>
      </w:pPr>
      <w:r>
        <w:rPr/>
        <w:drawing>
          <wp:inline distT="0" distB="0" distL="0" distR="0">
            <wp:extent cx="6583680" cy="2377440"/>
            <wp:effectExtent l="0" t="0" r="0" b="0"/>
            <wp:docPr id="127"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7" descr=""/>
                    <pic:cNvPicPr>
                      <a:picLocks noChangeAspect="1" noChangeArrowheads="1"/>
                    </pic:cNvPicPr>
                  </pic:nvPicPr>
                  <pic:blipFill>
                    <a:blip r:embed="rId128"/>
                    <a:srcRect l="-87" t="-243" r="-87" b="-243"/>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U08</w:t>
      </w:r>
    </w:p>
    <w:p>
      <w:pPr>
        <w:pStyle w:val="Heading2"/>
        <w:bidi w:val="0"/>
        <w:spacing w:before="40" w:after="80"/>
        <w:ind w:hanging="0" w:left="40" w:right="40"/>
        <w:jc w:val="left"/>
        <w:rPr>
          <w:sz w:val="28"/>
        </w:rPr>
      </w:pPr>
      <w:r>
        <w:rPr>
          <w:sz w:val="28"/>
        </w:rPr>
        <w:t>U08. ceftriaxone: severe COVID-19 with possible bacterial pneumonia co-infection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ceftriaxone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severe COVID-19 with possible bacterial pneumonia co-infection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 g IV every 24 h</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24 h</w:t>
            </w:r>
          </w:p>
        </w:tc>
      </w:tr>
    </w:tbl>
    <w:p>
      <w:pPr>
        <w:pStyle w:val="BodyText"/>
        <w:bidi w:val="0"/>
        <w:spacing w:before="60" w:after="60"/>
        <w:ind w:hanging="0" w:left="60" w:right="60"/>
        <w:jc w:val="left"/>
        <w:rPr>
          <w:sz w:val="15"/>
        </w:rPr>
      </w:pPr>
      <w:r>
        <w:rPr>
          <w:b/>
          <w:sz w:val="15"/>
        </w:rPr>
        <w:t>Note:</w:t>
      </w:r>
      <w:r>
        <w:rPr>
          <w:sz w:val="15"/>
        </w:rPr>
        <w:t xml:space="preserve"> COVID-19 austere CPG (ID85 per its page header) counts as JTS. Narrow indication: severe symptoms with possible bacterial pneumonia co-infection; ceftriaxone is 'added' to the azithromycin/doxycycline regimen. Duration not stated on the page. SMOG p.38 gives ceftriaxone 2 g slow IV push for sepsis (different indication).</w:t>
      </w:r>
    </w:p>
    <w:p>
      <w:pPr>
        <w:pStyle w:val="BodyText"/>
        <w:bidi w:val="0"/>
        <w:spacing w:before="80" w:after="20"/>
        <w:ind w:hanging="0" w:left="80" w:right="80"/>
        <w:jc w:val="left"/>
        <w:rPr>
          <w:sz w:val="16"/>
        </w:rPr>
      </w:pPr>
      <w:r>
        <w:rPr>
          <w:b/>
          <w:sz w:val="16"/>
        </w:rPr>
        <w:t>JTS</w:t>
      </w:r>
      <w:r>
        <w:rPr>
          <w:sz w:val="16"/>
        </w:rPr>
        <w:t xml:space="preserve"> · JTS CPG ID85, Management of COVID-19 in Austere Operational Environments v3.0 (23 Apr 2021): printed page </w:t>
      </w:r>
      <w:r>
        <w:rPr>
          <w:b/>
          <w:sz w:val="16"/>
        </w:rPr>
        <w:t>17</w:t>
      </w:r>
      <w:r>
        <w:rPr>
          <w:sz w:val="16"/>
        </w:rPr>
        <w:t xml:space="preserve"> (PDF page 17) · states: IV 2 g q24h (best option), added to azithromycin/doxycycline</w:t>
      </w:r>
    </w:p>
    <w:p>
      <w:pPr>
        <w:pStyle w:val="BodyText"/>
        <w:bidi w:val="0"/>
        <w:spacing w:before="0" w:after="40"/>
        <w:ind w:hanging="0" w:left="240" w:right="0"/>
        <w:jc w:val="left"/>
        <w:rPr/>
      </w:pPr>
      <w:r>
        <w:rPr/>
        <w:t>“</w:t>
      </w:r>
      <w:r>
        <w:rPr>
          <w:rFonts w:ascii="DejaVu Serif;serif" w:hAnsi="DejaVu Serif;serif"/>
          <w:sz w:val="15"/>
        </w:rPr>
        <w:t>3) For patients with severe symptoms, recommend adding ceftriaxone (IV 2gm q24h is the best option) or ampicillin-sulbactam (3gm IV q6hr is a good alternative) or ertapenem (1g IV or IM q24h if it is the only available option).”</w:t>
      </w:r>
    </w:p>
    <w:p>
      <w:pPr>
        <w:pStyle w:val="BodyText"/>
        <w:bidi w:val="0"/>
        <w:ind w:hanging="0" w:left="0" w:right="0"/>
        <w:jc w:val="left"/>
        <w:rPr/>
      </w:pPr>
      <w:r>
        <w:rPr/>
        <w:drawing>
          <wp:inline distT="0" distB="0" distL="0" distR="0">
            <wp:extent cx="6583680" cy="2377440"/>
            <wp:effectExtent l="0" t="0" r="0" b="0"/>
            <wp:docPr id="128"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8" descr=""/>
                    <pic:cNvPicPr>
                      <a:picLocks noChangeAspect="1" noChangeArrowheads="1"/>
                    </pic:cNvPicPr>
                  </pic:nvPicPr>
                  <pic:blipFill>
                    <a:blip r:embed="rId129"/>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U09</w:t>
      </w:r>
    </w:p>
    <w:p>
      <w:pPr>
        <w:pStyle w:val="Heading2"/>
        <w:bidi w:val="0"/>
        <w:spacing w:before="40" w:after="80"/>
        <w:ind w:hanging="0" w:left="40" w:right="40"/>
        <w:jc w:val="left"/>
        <w:rPr>
          <w:sz w:val="28"/>
        </w:rPr>
      </w:pPr>
      <w:r>
        <w:rPr>
          <w:sz w:val="28"/>
        </w:rPr>
        <w:t>U09. midazolam: procedural sedation (incl. cardioversion, transcutaneous pacing)</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procedural sedation (incl. cardioversion, transcutaneous pacing)</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0.05-0.1 mg/kg IV every 15-30 min PRN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15-30 min PRN</w:t>
            </w:r>
          </w:p>
        </w:tc>
      </w:tr>
    </w:tbl>
    <w:p>
      <w:pPr>
        <w:pStyle w:val="BodyText"/>
        <w:bidi w:val="0"/>
        <w:spacing w:before="60" w:after="60"/>
        <w:ind w:hanging="0" w:left="60" w:right="60"/>
        <w:jc w:val="left"/>
        <w:rPr>
          <w:sz w:val="15"/>
        </w:rPr>
      </w:pPr>
      <w:r>
        <w:rPr>
          <w:b/>
          <w:sz w:val="15"/>
        </w:rPr>
        <w:t>Note:</w:t>
      </w:r>
      <w:r>
        <w:rPr>
          <w:sz w:val="15"/>
        </w:rPr>
        <w:t xml:space="preserve"> SMOG only; no JTS page states a pediatric midazolam dose (JTS pediatric pages searched). The three SMOG pages agree on 0.05-0.1 mg/kg. p.47 and p.50 add IO and are cardioversion/pacing contexts. On p.140 the box line also carries the adult 'Induction 0.1mg/kg IV/IO' text from the left column. Max not stated. NASEMSO gives pediatric midazolam for agitation (0.1 mg/kg IV, max single dose 4 mg) and seizures, not procedural sedation, so it is not listed.</w:t>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140</w:t>
      </w:r>
      <w:r>
        <w:rPr>
          <w:sz w:val="16"/>
        </w:rPr>
        <w:t xml:space="preserve"> (PDF page 140) · states: pediatric procedural sedation IV 0.05-0.1 mg/kg q 15-30 min PRN</w:t>
      </w:r>
    </w:p>
    <w:p>
      <w:pPr>
        <w:pStyle w:val="BodyText"/>
        <w:bidi w:val="0"/>
        <w:spacing w:before="0" w:after="40"/>
        <w:ind w:hanging="0" w:left="240" w:right="0"/>
        <w:jc w:val="left"/>
        <w:rPr/>
      </w:pPr>
      <w:r>
        <w:rPr/>
        <w:t>“</w:t>
      </w:r>
      <w:r>
        <w:rPr>
          <w:rFonts w:ascii="DejaVu Serif;serif" w:hAnsi="DejaVu Serif;serif"/>
          <w:sz w:val="15"/>
        </w:rPr>
        <w:t>Induction for RSI; Continued sedation; Procedural sedation; Transcutaneous Pacing; Hyperthermia: Cardioversion: IV: IV: • Induction 0.1mg/kg IV/IO 0.05-0.1mg/kg q 15-30 min PRN”</w:t>
      </w:r>
    </w:p>
    <w:p>
      <w:pPr>
        <w:pStyle w:val="BodyText"/>
        <w:bidi w:val="0"/>
        <w:ind w:hanging="0" w:left="0" w:right="0"/>
        <w:jc w:val="left"/>
        <w:rPr/>
      </w:pPr>
      <w:r>
        <w:rPr/>
        <w:drawing>
          <wp:inline distT="0" distB="0" distL="0" distR="0">
            <wp:extent cx="6583680" cy="1097280"/>
            <wp:effectExtent l="0" t="0" r="0" b="0"/>
            <wp:docPr id="129"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9" descr=""/>
                    <pic:cNvPicPr>
                      <a:picLocks noChangeAspect="1" noChangeArrowheads="1"/>
                    </pic:cNvPicPr>
                  </pic:nvPicPr>
                  <pic:blipFill>
                    <a:blip r:embed="rId130"/>
                    <a:srcRect l="-113" t="-683" r="-113" b="-683"/>
                    <a:stretch>
                      <a:fillRect/>
                    </a:stretch>
                  </pic:blipFill>
                  <pic:spPr bwMode="auto">
                    <a:xfrm>
                      <a:off x="0" y="0"/>
                      <a:ext cx="6583680" cy="109728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47</w:t>
      </w:r>
      <w:r>
        <w:rPr>
          <w:sz w:val="16"/>
        </w:rPr>
        <w:t xml:space="preserve"> (PDF page 47) · states: pediatric bradycardia: consider sedation 0.05-0.1 mg/kg IV/IO</w:t>
      </w:r>
    </w:p>
    <w:p>
      <w:pPr>
        <w:pStyle w:val="BodyText"/>
        <w:bidi w:val="0"/>
        <w:spacing w:before="0" w:after="40"/>
        <w:ind w:hanging="0" w:left="240" w:right="0"/>
        <w:jc w:val="left"/>
        <w:rPr/>
      </w:pPr>
      <w:r>
        <w:rPr/>
        <w:t xml:space="preserve">“• </w:t>
      </w:r>
      <w:r>
        <w:rPr>
          <w:rFonts w:ascii="DejaVu Serif;serif" w:hAnsi="DejaVu Serif;serif"/>
          <w:sz w:val="15"/>
        </w:rPr>
        <w:t>Tension Pneumothorax (Max single dose 1mg) (Consider sedation: “OVERDOSE (Mothers Milk)”: Midazolam 0.05-0.1mg/kg IV / IO)”</w:t>
      </w:r>
    </w:p>
    <w:p>
      <w:pPr>
        <w:pStyle w:val="BodyText"/>
        <w:bidi w:val="0"/>
        <w:ind w:hanging="0" w:left="0" w:right="0"/>
        <w:jc w:val="left"/>
        <w:rPr/>
      </w:pPr>
      <w:r>
        <w:rPr/>
        <w:drawing>
          <wp:inline distT="0" distB="0" distL="0" distR="0">
            <wp:extent cx="6583680" cy="1097280"/>
            <wp:effectExtent l="0" t="0" r="0" b="0"/>
            <wp:docPr id="130"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30" descr=""/>
                    <pic:cNvPicPr>
                      <a:picLocks noChangeAspect="1" noChangeArrowheads="1"/>
                    </pic:cNvPicPr>
                  </pic:nvPicPr>
                  <pic:blipFill>
                    <a:blip r:embed="rId131"/>
                    <a:srcRect l="-113" t="-683" r="-113" b="-683"/>
                    <a:stretch>
                      <a:fillRect/>
                    </a:stretch>
                  </pic:blipFill>
                  <pic:spPr bwMode="auto">
                    <a:xfrm>
                      <a:off x="0" y="0"/>
                      <a:ext cx="6583680" cy="109728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50</w:t>
      </w:r>
      <w:r>
        <w:rPr>
          <w:sz w:val="16"/>
        </w:rPr>
        <w:t xml:space="preserve"> (PDF page 50) · states: pediatric tachycardia: sedation before cardioversion 0.05-0.1 mg/kg IV/IO</w:t>
      </w:r>
    </w:p>
    <w:p>
      <w:pPr>
        <w:pStyle w:val="BodyText"/>
        <w:bidi w:val="0"/>
        <w:spacing w:before="0" w:after="40"/>
        <w:ind w:hanging="0" w:left="240" w:right="0"/>
        <w:jc w:val="left"/>
        <w:rPr/>
      </w:pPr>
      <w:r>
        <w:rPr/>
        <w:t xml:space="preserve">“• </w:t>
      </w:r>
      <w:r>
        <w:rPr>
          <w:rFonts w:ascii="DejaVu Serif;serif" w:hAnsi="DejaVu Serif;serif"/>
          <w:sz w:val="15"/>
        </w:rPr>
        <w:t>Heart Rate?: (Sedation w/o delay to Cardioversion: o Infants: &gt;220/min (typically) Midazolam 0.05-0.1mg/kg IV / IO)”</w:t>
      </w:r>
    </w:p>
    <w:p>
      <w:pPr>
        <w:pStyle w:val="BodyText"/>
        <w:bidi w:val="0"/>
        <w:ind w:hanging="0" w:left="0" w:right="0"/>
        <w:jc w:val="left"/>
        <w:rPr/>
      </w:pPr>
      <w:r>
        <w:rPr/>
        <w:drawing>
          <wp:inline distT="0" distB="0" distL="0" distR="0">
            <wp:extent cx="6583680" cy="1097280"/>
            <wp:effectExtent l="0" t="0" r="0" b="0"/>
            <wp:docPr id="131"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1" descr=""/>
                    <pic:cNvPicPr>
                      <a:picLocks noChangeAspect="1" noChangeArrowheads="1"/>
                    </pic:cNvPicPr>
                  </pic:nvPicPr>
                  <pic:blipFill>
                    <a:blip r:embed="rId132"/>
                    <a:srcRect l="-113" t="-683" r="-113" b="-683"/>
                    <a:stretch>
                      <a:fillRect/>
                    </a:stretch>
                  </pic:blipFill>
                  <pic:spPr bwMode="auto">
                    <a:xfrm>
                      <a:off x="0" y="0"/>
                      <a:ext cx="6583680" cy="109728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U10</w:t>
      </w:r>
    </w:p>
    <w:p>
      <w:pPr>
        <w:pStyle w:val="Heading2"/>
        <w:bidi w:val="0"/>
        <w:spacing w:before="40" w:after="80"/>
        <w:ind w:hanging="0" w:left="40" w:right="40"/>
        <w:jc w:val="left"/>
        <w:rPr>
          <w:sz w:val="28"/>
        </w:rPr>
      </w:pPr>
      <w:r>
        <w:rPr>
          <w:sz w:val="28"/>
        </w:rPr>
        <w:t>U10. midazolam: procedural / conscious sedation</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procedural / conscious sedation</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0.2-0.5 mg/kg IN</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maximum total dose 10 mg, or 5 mg per nare</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sz w:val="15"/>
        </w:rPr>
      </w:pPr>
      <w:r>
        <w:rPr>
          <w:b/>
          <w:sz w:val="15"/>
        </w:rPr>
        <w:t>Note:</w:t>
      </w:r>
      <w:r>
        <w:rPr>
          <w:sz w:val="15"/>
        </w:rPr>
        <w:t xml:space="preserve"> SMOG only; SMOG labels the intranasal route 'unlabeled' (p.140 Indications: 'conscious sedation (intranasal)' is listed under Unlabeled). The word 'nare' wraps to a later line, and left-column adult text is interleaved in the layout, so the quote carries it. Repeat interval not stated. No JTS page states a pediatric IN midazolam dose. NASEMSO gives 0.2 mg/kg IN (max 10 mg) for pediatric agitation, a different indication.</w:t>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140</w:t>
      </w:r>
      <w:r>
        <w:rPr>
          <w:sz w:val="16"/>
        </w:rPr>
        <w:t xml:space="preserve"> (PDF page 140) · states: 0.2-0.5 mg/kg IN; max total 10 mg or 5 mg per nare</w:t>
      </w:r>
    </w:p>
    <w:p>
      <w:pPr>
        <w:pStyle w:val="BodyText"/>
        <w:bidi w:val="0"/>
        <w:spacing w:before="0" w:after="40"/>
        <w:ind w:hanging="0" w:left="240" w:right="0"/>
        <w:jc w:val="left"/>
        <w:rPr/>
      </w:pPr>
      <w:r>
        <w:rPr/>
        <w:t xml:space="preserve">“• </w:t>
      </w:r>
      <w:r>
        <w:rPr>
          <w:rFonts w:ascii="DejaVu Serif;serif" w:hAnsi="DejaVu Serif;serif"/>
          <w:sz w:val="15"/>
        </w:rPr>
        <w:t>Continued Sedation .05-.1 mg/kg Intranasal (unlabeled route): IV/IO 0.2-0.5 mg/kg (maximum total dose: 10 mg or 5 mg per • Infusion sedation 0.05 mg/kg bolus nare”</w:t>
      </w:r>
    </w:p>
    <w:p>
      <w:pPr>
        <w:pStyle w:val="BodyText"/>
        <w:bidi w:val="0"/>
        <w:ind w:hanging="0" w:left="0" w:right="0"/>
        <w:jc w:val="left"/>
        <w:rPr/>
      </w:pPr>
      <w:r>
        <w:rPr/>
        <w:drawing>
          <wp:inline distT="0" distB="0" distL="0" distR="0">
            <wp:extent cx="6583680" cy="2377440"/>
            <wp:effectExtent l="0" t="0" r="0" b="0"/>
            <wp:docPr id="132"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2" descr=""/>
                    <pic:cNvPicPr>
                      <a:picLocks noChangeAspect="1" noChangeArrowheads="1"/>
                    </pic:cNvPicPr>
                  </pic:nvPicPr>
                  <pic:blipFill>
                    <a:blip r:embed="rId133"/>
                    <a:srcRect l="-113" t="-314" r="-113" b="-314"/>
                    <a:stretch>
                      <a:fillRect/>
                    </a:stretch>
                  </pic:blipFill>
                  <pic:spPr bwMode="auto">
                    <a:xfrm>
                      <a:off x="0" y="0"/>
                      <a:ext cx="6583680" cy="23774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U11</w:t>
      </w:r>
    </w:p>
    <w:p>
      <w:pPr>
        <w:pStyle w:val="Heading2"/>
        <w:bidi w:val="0"/>
        <w:spacing w:before="40" w:after="80"/>
        <w:ind w:hanging="0" w:left="40" w:right="40"/>
        <w:jc w:val="left"/>
        <w:rPr>
          <w:sz w:val="28"/>
        </w:rPr>
      </w:pPr>
      <w:r>
        <w:rPr>
          <w:sz w:val="28"/>
        </w:rPr>
        <w:t>U11. midazolam: post-intubation sedation bolus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post-intubation sedation bolus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IV</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1-4 mg IV/IO (intubated), dose every 5 minutes until goal achieved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every 5 min until goal achieved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Three different bolus doses: JTS ID61 p.12 1-4 mg IV/IO (intubated) every 5 min until goal; JTS Burn Care p.24 2-5 mg IVP every 15 min (burn ICU order set, for acute agitation or wound care); SMOG p.12 0.05 mg/kg IVP (or 0.05 mg/kg bolus then 0.05-0.1 mg/kg/hr), SMOG p.140 0.05-0.1 mg/kg IV/IO continued sedation. Fixed-mg vs weight-based, and the repeat interval differs (5 vs 15 min).</w:t>
      </w:r>
    </w:p>
    <w:p>
      <w:pPr>
        <w:pStyle w:val="BodyText"/>
        <w:bidi w:val="0"/>
        <w:spacing w:before="60" w:after="60"/>
        <w:ind w:hanging="0" w:left="60" w:right="60"/>
        <w:jc w:val="left"/>
        <w:rPr>
          <w:sz w:val="15"/>
        </w:rPr>
      </w:pPr>
      <w:r>
        <w:rPr>
          <w:b/>
          <w:sz w:val="15"/>
        </w:rPr>
        <w:t>Note:</w:t>
      </w:r>
      <w:r>
        <w:rPr>
          <w:sz w:val="15"/>
        </w:rPr>
        <w:t xml:space="preserve"> Proposal follows ID61, the only JTS page that labels the dose for intubated patients; the ID61 repeat clause reads 'dose every 5 minutes until goal achieved or RR &lt; 10/min' (the RR clause is meaningless once ventilated). Burn Care p.24 is a burn ICU order set (header reads 'ID:20' although the filename says ID12). Max not stated in ID61. The SMOG p.140 quote includes interleaved right-column pediatric text from the layout.</w:t>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12</w:t>
      </w:r>
      <w:r>
        <w:rPr>
          <w:sz w:val="16"/>
        </w:rPr>
        <w:t xml:space="preserve"> (PDF page 12) · states: intubated: 1-4 mg IV/IO every 5 min until goal</w:t>
      </w:r>
    </w:p>
    <w:p>
      <w:pPr>
        <w:pStyle w:val="BodyText"/>
        <w:bidi w:val="0"/>
        <w:spacing w:before="0" w:after="40"/>
        <w:ind w:hanging="0" w:left="240" w:right="0"/>
        <w:jc w:val="left"/>
        <w:rPr/>
      </w:pPr>
      <w:r>
        <w:rPr/>
        <w:t>“</w:t>
      </w:r>
      <w:r>
        <w:rPr>
          <w:rFonts w:ascii="DejaVu Serif;serif" w:hAnsi="DejaVu Serif;serif"/>
          <w:sz w:val="15"/>
        </w:rPr>
        <w:t>Sedation (includes anxiety or agitation): • Respiratory/cardiac/mental status depression • Onset: 1–5 minutes IV/IO: dose every 5 minutes until goal achieved or RR &lt; • Amnestic • Duration of effect: 1–4 hours Midazolam 10/min. • Nausea/vomiting • Hepatic metabolism (active metabolites) (Versed) • Nonintubated: 0.5–2mg • Hypotension • Renal excretion • Intubated: 1–4mg • Constipation”</w:t>
      </w:r>
    </w:p>
    <w:p>
      <w:pPr>
        <w:pStyle w:val="BodyText"/>
        <w:bidi w:val="0"/>
        <w:ind w:hanging="0" w:left="0" w:right="0"/>
        <w:jc w:val="left"/>
        <w:rPr/>
      </w:pPr>
      <w:r>
        <w:rPr/>
        <w:drawing>
          <wp:inline distT="0" distB="0" distL="0" distR="0">
            <wp:extent cx="6583680" cy="511810"/>
            <wp:effectExtent l="0" t="0" r="0" b="0"/>
            <wp:docPr id="133" name="Image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3" descr=""/>
                    <pic:cNvPicPr>
                      <a:picLocks noChangeAspect="1" noChangeArrowheads="1"/>
                    </pic:cNvPicPr>
                  </pic:nvPicPr>
                  <pic:blipFill>
                    <a:blip r:embed="rId134"/>
                    <a:srcRect l="-87" t="-1126" r="-87" b="-1126"/>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Burn Care CPG (10 Jun 2025; filename ID12, page header reads 'ID:20'): printed page </w:t>
      </w:r>
      <w:r>
        <w:rPr>
          <w:b/>
          <w:sz w:val="16"/>
        </w:rPr>
        <w:t>24</w:t>
      </w:r>
      <w:r>
        <w:rPr>
          <w:sz w:val="16"/>
        </w:rPr>
        <w:t xml:space="preserve"> (PDF page 24) · states: 2-5 mg IVP every 15 min for acute agitation or burn wound care (ICU order set, infusion titrate up to 10 mg/hr)</w:t>
      </w:r>
    </w:p>
    <w:p>
      <w:pPr>
        <w:pStyle w:val="BodyText"/>
        <w:bidi w:val="0"/>
        <w:spacing w:before="0" w:after="40"/>
        <w:ind w:hanging="0" w:left="240" w:right="0"/>
        <w:jc w:val="left"/>
        <w:rPr/>
      </w:pPr>
      <w:r>
        <w:rPr/>
        <w:t>“</w:t>
      </w:r>
      <w:r>
        <w:rPr>
          <w:rFonts w:ascii="DejaVu Serif;serif" w:hAnsi="DejaVu Serif;serif"/>
          <w:sz w:val="15"/>
        </w:rPr>
        <w:t>15.5. _____Versed gtt at _____ mg/hr, titrate up to 10 mg/hr ; may give 2-5 mg IVP Q 15 minutes for acute agitation or burn wound care.”</w:t>
      </w:r>
    </w:p>
    <w:p>
      <w:pPr>
        <w:pStyle w:val="BodyText"/>
        <w:bidi w:val="0"/>
        <w:ind w:hanging="0" w:left="0" w:right="0"/>
        <w:jc w:val="left"/>
        <w:rPr/>
      </w:pPr>
      <w:r>
        <w:rPr/>
        <w:drawing>
          <wp:inline distT="0" distB="0" distL="0" distR="0">
            <wp:extent cx="6583680" cy="511810"/>
            <wp:effectExtent l="0" t="0" r="0" b="0"/>
            <wp:docPr id="134" name="Image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4" descr=""/>
                    <pic:cNvPicPr>
                      <a:picLocks noChangeAspect="1" noChangeArrowheads="1"/>
                    </pic:cNvPicPr>
                  </pic:nvPicPr>
                  <pic:blipFill>
                    <a:blip r:embed="rId135"/>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12</w:t>
      </w:r>
      <w:r>
        <w:rPr>
          <w:sz w:val="16"/>
        </w:rPr>
        <w:t xml:space="preserve"> (PDF page 12) · states: RSI maintenance: 0.05 mg/kg IVP, or 0.05 mg/kg bolus then 0.05-0.1 mg/kg/hr</w:t>
      </w:r>
    </w:p>
    <w:p>
      <w:pPr>
        <w:pStyle w:val="BodyText"/>
        <w:bidi w:val="0"/>
        <w:spacing w:before="0" w:after="40"/>
        <w:ind w:hanging="0" w:left="240" w:right="0"/>
        <w:jc w:val="left"/>
        <w:rPr/>
      </w:pPr>
      <w:r>
        <w:rPr/>
        <w:t>“</w:t>
      </w:r>
      <w:r>
        <w:rPr>
          <w:rFonts w:ascii="DejaVu Serif;serif" w:hAnsi="DejaVu Serif;serif"/>
          <w:sz w:val="15"/>
        </w:rPr>
        <w:t>Conduct seven “P” pneumonic (7Ps): o Midazolam 0.05 mg/kg IVP or 0.05 mg/kg bolus then 0.05-0.1mg/kg/hr.”</w:t>
      </w:r>
    </w:p>
    <w:p>
      <w:pPr>
        <w:pStyle w:val="BodyText"/>
        <w:bidi w:val="0"/>
        <w:ind w:hanging="0" w:left="0" w:right="0"/>
        <w:jc w:val="left"/>
        <w:rPr/>
      </w:pPr>
      <w:r>
        <w:rPr/>
        <w:drawing>
          <wp:inline distT="0" distB="0" distL="0" distR="0">
            <wp:extent cx="6583680" cy="511810"/>
            <wp:effectExtent l="0" t="0" r="0" b="0"/>
            <wp:docPr id="135" name="Image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5" descr=""/>
                    <pic:cNvPicPr>
                      <a:picLocks noChangeAspect="1" noChangeArrowheads="1"/>
                    </pic:cNvPicPr>
                  </pic:nvPicPr>
                  <pic:blipFill>
                    <a:blip r:embed="rId136"/>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140</w:t>
      </w:r>
      <w:r>
        <w:rPr>
          <w:sz w:val="16"/>
        </w:rPr>
        <w:t xml:space="preserve"> (PDF page 140) · states: adult continued sedation 0.05-0.1 mg/kg IV/IO; infusion 0.05 mg/kg bolus</w:t>
      </w:r>
    </w:p>
    <w:p>
      <w:pPr>
        <w:pStyle w:val="BodyText"/>
        <w:bidi w:val="0"/>
        <w:spacing w:before="0" w:after="40"/>
        <w:ind w:hanging="0" w:left="240" w:right="0"/>
        <w:jc w:val="left"/>
        <w:rPr/>
      </w:pPr>
      <w:r>
        <w:rPr/>
        <w:t xml:space="preserve">“• </w:t>
      </w:r>
      <w:r>
        <w:rPr>
          <w:rFonts w:ascii="DejaVu Serif;serif" w:hAnsi="DejaVu Serif;serif"/>
          <w:sz w:val="15"/>
        </w:rPr>
        <w:t>Continued Sedation .05-.1 mg/kg Intranasal (unlabeled route): IV/IO 0.2-0.5 mg/kg (maximum total dose: 10 mg or 5 mg per • Infusion sedation 0.05 mg/kg bolus”</w:t>
      </w:r>
    </w:p>
    <w:p>
      <w:pPr>
        <w:pStyle w:val="BodyText"/>
        <w:bidi w:val="0"/>
        <w:ind w:hanging="0" w:left="0" w:right="0"/>
        <w:jc w:val="left"/>
        <w:rPr/>
      </w:pPr>
      <w:r>
        <w:rPr/>
        <w:drawing>
          <wp:inline distT="0" distB="0" distL="0" distR="0">
            <wp:extent cx="6583680" cy="511810"/>
            <wp:effectExtent l="0" t="0" r="0" b="0"/>
            <wp:docPr id="136" name="Image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6" descr=""/>
                    <pic:cNvPicPr>
                      <a:picLocks noChangeAspect="1" noChangeArrowheads="1"/>
                    </pic:cNvPicPr>
                  </pic:nvPicPr>
                  <pic:blipFill>
                    <a:blip r:embed="rId137"/>
                    <a:srcRect l="-113" t="-1450" r="-113" b="-1450"/>
                    <a:stretch>
                      <a:fillRect/>
                    </a:stretch>
                  </pic:blipFill>
                  <pic:spPr bwMode="auto">
                    <a:xfrm>
                      <a:off x="0" y="0"/>
                      <a:ext cx="6583680" cy="5118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Undrafted indication (v1.1 list) · U12</w:t>
      </w:r>
    </w:p>
    <w:p>
      <w:pPr>
        <w:pStyle w:val="Heading2"/>
        <w:bidi w:val="0"/>
        <w:spacing w:before="40" w:after="80"/>
        <w:ind w:hanging="0" w:left="40" w:right="40"/>
        <w:jc w:val="left"/>
        <w:rPr>
          <w:sz w:val="28"/>
        </w:rPr>
      </w:pPr>
      <w:r>
        <w:rPr>
          <w:sz w:val="28"/>
        </w:rPr>
        <w:t>U12. midazolam: sedation / anxiolysis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midazolam</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sedation / anxiolysis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IM</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2-4 mg IM</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not stated</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not stated</w:t>
            </w:r>
          </w:p>
        </w:tc>
      </w:tr>
    </w:tbl>
    <w:p>
      <w:pPr>
        <w:pStyle w:val="BodyText"/>
        <w:bidi w:val="0"/>
        <w:spacing w:before="60" w:after="60"/>
        <w:ind w:hanging="0" w:left="60" w:right="60"/>
        <w:jc w:val="left"/>
        <w:rPr>
          <w:color w:val="A00000"/>
          <w:sz w:val="16"/>
        </w:rPr>
      </w:pPr>
      <w:r>
        <w:rPr>
          <w:b/>
          <w:color w:val="A00000"/>
          <w:sz w:val="16"/>
        </w:rPr>
        <w:t>Sources disagree:</w:t>
      </w:r>
      <w:r>
        <w:rPr>
          <w:color w:val="A00000"/>
          <w:sz w:val="16"/>
        </w:rPr>
        <w:t xml:space="preserve"> JTS ID91 p.35 gives 2-4 mg IM for sedation and anxiolysis; JTS ID61 p.12 says midazolam 'IM: not recommended'. SMOG p.32 (altered mental status / combative patient) gives 2.5-5 mg IV/IM q15-30 min prn, larger patients may need 10 mg IM.</w:t>
      </w:r>
    </w:p>
    <w:p>
      <w:pPr>
        <w:pStyle w:val="BodyText"/>
        <w:bidi w:val="0"/>
        <w:spacing w:before="60" w:after="60"/>
        <w:ind w:hanging="0" w:left="60" w:right="60"/>
        <w:jc w:val="left"/>
        <w:rPr>
          <w:sz w:val="15"/>
        </w:rPr>
      </w:pPr>
      <w:r>
        <w:rPr>
          <w:b/>
          <w:sz w:val="15"/>
        </w:rPr>
        <w:t>Note:</w:t>
      </w:r>
      <w:r>
        <w:rPr>
          <w:sz w:val="15"/>
        </w:rPr>
        <w:t xml:space="preserve"> Proposal follows ID91 (newer, and the only JTS page stating an IM number); ID61 contradicts it on route. ID91 notes onset 15-20 min IM and 'HIGH variability' in IM duration. ID91 states no repeat interval or max. SMOG p.32 indication is calming a combative patient, not general anxiolysis.</w:t>
      </w:r>
    </w:p>
    <w:p>
      <w:pPr>
        <w:pStyle w:val="BodyText"/>
        <w:bidi w:val="0"/>
        <w:spacing w:before="80" w:after="20"/>
        <w:ind w:hanging="0" w:left="80" w:right="80"/>
        <w:jc w:val="left"/>
        <w:rPr>
          <w:sz w:val="16"/>
        </w:rPr>
      </w:pPr>
      <w:r>
        <w:rPr>
          <w:b/>
          <w:sz w:val="16"/>
        </w:rPr>
        <w:t>JTS</w:t>
      </w:r>
      <w:r>
        <w:rPr>
          <w:sz w:val="16"/>
        </w:rPr>
        <w:t xml:space="preserve"> · JTS CPG ID91, Prolonged Casualty Care Guidelines (21 Dec 2021): printed page </w:t>
      </w:r>
      <w:r>
        <w:rPr>
          <w:b/>
          <w:sz w:val="16"/>
        </w:rPr>
        <w:t>35</w:t>
      </w:r>
      <w:r>
        <w:rPr>
          <w:sz w:val="16"/>
        </w:rPr>
        <w:t xml:space="preserve"> (PDF page 35) · states: 2-4 mg IM for sedation and anxiolysis</w:t>
      </w:r>
    </w:p>
    <w:p>
      <w:pPr>
        <w:pStyle w:val="BodyText"/>
        <w:bidi w:val="0"/>
        <w:spacing w:before="0" w:after="40"/>
        <w:ind w:hanging="0" w:left="240" w:right="0"/>
        <w:jc w:val="left"/>
        <w:rPr/>
      </w:pPr>
      <w:r>
        <w:rPr/>
        <w:t>“</w:t>
      </w:r>
      <w:r>
        <w:rPr>
          <w:rFonts w:ascii="DejaVu Serif;serif" w:hAnsi="DejaVu Serif;serif"/>
          <w:sz w:val="15"/>
        </w:rPr>
        <w:t>Midazolam (Versed) 15-20 mins 1-6 hrs  Drowsiness when given when  Respiratory depression ESPECIALLY  For sedation and anxiolysis; IM, 2 mins given IM, will also cause anterograde when given 15 min-6 when used with any narcotic amnesia IV hrs  Nausea/vomiting  2-4 mg IM (HIGH variabilit  0.5-1mg IV (push slowly over y)”</w:t>
      </w:r>
    </w:p>
    <w:p>
      <w:pPr>
        <w:pStyle w:val="BodyText"/>
        <w:bidi w:val="0"/>
        <w:ind w:hanging="0" w:left="0" w:right="0"/>
        <w:jc w:val="left"/>
        <w:rPr/>
      </w:pPr>
      <w:r>
        <w:rPr/>
        <w:drawing>
          <wp:inline distT="0" distB="0" distL="0" distR="0">
            <wp:extent cx="6583680" cy="1005840"/>
            <wp:effectExtent l="0" t="0" r="0" b="0"/>
            <wp:docPr id="137" name="Image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7" descr=""/>
                    <pic:cNvPicPr>
                      <a:picLocks noChangeAspect="1" noChangeArrowheads="1"/>
                    </pic:cNvPicPr>
                  </pic:nvPicPr>
                  <pic:blipFill>
                    <a:blip r:embed="rId138"/>
                    <a:srcRect l="-113" t="-745" r="-113" b="-745"/>
                    <a:stretch>
                      <a:fillRect/>
                    </a:stretch>
                  </pic:blipFill>
                  <pic:spPr bwMode="auto">
                    <a:xfrm>
                      <a:off x="0" y="0"/>
                      <a:ext cx="6583680" cy="10058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ID61, Analgesia and Sedation Management during Prolonged Field Care (11 May 2017): printed page </w:t>
      </w:r>
      <w:r>
        <w:rPr>
          <w:b/>
          <w:sz w:val="16"/>
        </w:rPr>
        <w:t>12</w:t>
      </w:r>
      <w:r>
        <w:rPr>
          <w:sz w:val="16"/>
        </w:rPr>
        <w:t xml:space="preserve"> (PDF page 12) · states: IM: not recommended</w:t>
      </w:r>
    </w:p>
    <w:p>
      <w:pPr>
        <w:pStyle w:val="BodyText"/>
        <w:bidi w:val="0"/>
        <w:spacing w:before="0" w:after="40"/>
        <w:ind w:hanging="0" w:left="240" w:right="0"/>
        <w:jc w:val="left"/>
        <w:rPr/>
      </w:pPr>
      <w:r>
        <w:rPr/>
        <w:t xml:space="preserve">“• </w:t>
      </w:r>
      <w:r>
        <w:rPr>
          <w:rFonts w:ascii="DejaVu Serif;serif" w:hAnsi="DejaVu Serif;serif"/>
          <w:sz w:val="15"/>
        </w:rPr>
        <w:t>Intubated: 1–4mg • Constipation • Personnel and equipment needed for standard respiratory resuscitation IM: not recommended should be available during midazolam administration.”</w:t>
      </w:r>
    </w:p>
    <w:p>
      <w:pPr>
        <w:pStyle w:val="BodyText"/>
        <w:bidi w:val="0"/>
        <w:ind w:hanging="0" w:left="0" w:right="0"/>
        <w:jc w:val="left"/>
        <w:rPr/>
      </w:pPr>
      <w:r>
        <w:rPr/>
        <w:drawing>
          <wp:inline distT="0" distB="0" distL="0" distR="0">
            <wp:extent cx="6583680" cy="1005840"/>
            <wp:effectExtent l="0" t="0" r="0" b="0"/>
            <wp:docPr id="138" name="Image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8" descr=""/>
                    <pic:cNvPicPr>
                      <a:picLocks noChangeAspect="1" noChangeArrowheads="1"/>
                    </pic:cNvPicPr>
                  </pic:nvPicPr>
                  <pic:blipFill>
                    <a:blip r:embed="rId139"/>
                    <a:srcRect l="-87" t="-575" r="-87" b="-575"/>
                    <a:stretch>
                      <a:fillRect/>
                    </a:stretch>
                  </pic:blipFill>
                  <pic:spPr bwMode="auto">
                    <a:xfrm>
                      <a:off x="0" y="0"/>
                      <a:ext cx="6583680" cy="100584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SMOG</w:t>
      </w:r>
      <w:r>
        <w:rPr>
          <w:sz w:val="16"/>
        </w:rPr>
        <w:t xml:space="preserve"> · SMOG CY24 revision: printed page </w:t>
      </w:r>
      <w:r>
        <w:rPr>
          <w:b/>
          <w:sz w:val="16"/>
        </w:rPr>
        <w:t>32</w:t>
      </w:r>
      <w:r>
        <w:rPr>
          <w:sz w:val="16"/>
        </w:rPr>
        <w:t xml:space="preserve"> (PDF page 32) · states: combative/AMS: 2.5-5 mg IV/IM q15-30 min prn (larger patients may need 10 mg IM)</w:t>
      </w:r>
    </w:p>
    <w:p>
      <w:pPr>
        <w:pStyle w:val="BodyText"/>
        <w:bidi w:val="0"/>
        <w:spacing w:before="0" w:after="40"/>
        <w:ind w:hanging="0" w:left="240" w:right="0"/>
        <w:jc w:val="left"/>
        <w:rPr/>
      </w:pPr>
      <w:r>
        <w:rPr/>
        <w:t>“</w:t>
      </w:r>
      <w:r>
        <w:rPr>
          <w:rFonts w:ascii="DejaVu Serif;serif" w:hAnsi="DejaVu Serif;serif"/>
          <w:sz w:val="15"/>
        </w:rPr>
        <w:t>o Lorazepam 2-4mg IV/IM (can use alone). o Midazolam 2.5-5mg IV/IM q15-30 min prn (larger patients may need 10mg if using IM route).”</w:t>
      </w:r>
    </w:p>
    <w:p>
      <w:pPr>
        <w:pStyle w:val="BodyText"/>
        <w:bidi w:val="0"/>
        <w:ind w:hanging="0" w:left="0" w:right="0"/>
        <w:jc w:val="left"/>
        <w:rPr/>
      </w:pPr>
      <w:r>
        <w:rPr/>
        <w:drawing>
          <wp:inline distT="0" distB="0" distL="0" distR="0">
            <wp:extent cx="6583680" cy="1005840"/>
            <wp:effectExtent l="0" t="0" r="0" b="0"/>
            <wp:docPr id="139" name="Image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9" descr=""/>
                    <pic:cNvPicPr>
                      <a:picLocks noChangeAspect="1" noChangeArrowheads="1"/>
                    </pic:cNvPicPr>
                  </pic:nvPicPr>
                  <pic:blipFill>
                    <a:blip r:embed="rId140"/>
                    <a:srcRect l="-113" t="-745" r="-113" b="-745"/>
                    <a:stretch>
                      <a:fillRect/>
                    </a:stretch>
                  </pic:blipFill>
                  <pic:spPr bwMode="auto">
                    <a:xfrm>
                      <a:off x="0" y="0"/>
                      <a:ext cx="6583680" cy="100584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 DEFER    Initials ______ Date ________</w:t>
      </w:r>
      <w:r>
        <w:br w:type="page"/>
      </w:r>
    </w:p>
    <w:p>
      <w:pPr>
        <w:pStyle w:val="BodyText"/>
        <w:bidi w:val="0"/>
        <w:ind w:hanging="0" w:left="0" w:right="0"/>
        <w:jc w:val="left"/>
        <w:rPr>
          <w:color w:val="555555"/>
          <w:sz w:val="16"/>
        </w:rPr>
      </w:pPr>
      <w:r>
        <w:rPr>
          <w:color w:val="555555"/>
          <w:sz w:val="16"/>
        </w:rPr>
        <w:t>EdgeCDSS signing batch 3: review packet · Procedure row · P1</w:t>
      </w:r>
    </w:p>
    <w:p>
      <w:pPr>
        <w:pStyle w:val="Heading2"/>
        <w:bidi w:val="0"/>
        <w:spacing w:before="40" w:after="80"/>
        <w:ind w:hanging="0" w:left="40" w:right="40"/>
        <w:jc w:val="left"/>
        <w:rPr>
          <w:sz w:val="28"/>
        </w:rPr>
      </w:pPr>
      <w:r>
        <w:rPr>
          <w:sz w:val="28"/>
        </w:rPr>
        <w:t>P1. Procedure: lumbar puncture: contraindicated with raised or suspected raised ICP</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(procedure)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lumbar puncture: contraindicated with raised or suspected raised ICP</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pPr>
            <w:r>
              <w:rPr/>
              <w: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Hold advice, as it would be served: The answer advised a lumbar puncture, but raised or suspected raised ICP is recorded. A lumbar puncture is a recognised contraindication here. Use local protocol and medical control.</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n/a</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n/a</w:t>
            </w:r>
          </w:p>
        </w:tc>
      </w:tr>
    </w:tbl>
    <w:p>
      <w:pPr>
        <w:pStyle w:val="BodyText"/>
        <w:bidi w:val="0"/>
        <w:spacing w:before="60" w:after="60"/>
        <w:ind w:hanging="0" w:left="60" w:right="60"/>
        <w:jc w:val="left"/>
        <w:rPr>
          <w:sz w:val="15"/>
        </w:rPr>
      </w:pPr>
      <w:r>
        <w:rPr>
          <w:b/>
          <w:sz w:val="15"/>
        </w:rPr>
        <w:t>Note:</w:t>
      </w:r>
      <w:r>
        <w:rPr>
          <w:sz w:val="15"/>
        </w:rPr>
        <w:t xml:space="preserve"> No JTS, SMOG or NASEMSO page states that lumbar puncture is contraindicated with raised or suspected raised ICP. Searched all three for 'lumbar puncture', 'LP', 'spinal tap' and 'lumbar': the only clinical mention is the CT-myelography technique in ID15 p.24; other 'LP' hits are author names/credentials. The condition (suspected high ICP) is sourced in ID63 p.6 and ID30 p.9. SMOG p.26 (Head Injury/TBI) treats 'Evidence of Elevated ICP' but says nothing on LP. Advice as it would be served (procedure_contracts.json hold_text): 'The answer advised a lumbar puncture, but raised or suspected raised ICP is recorded. A lumbar puncture is a recognised contraindication here. Use local protocol and medical control.'</w:t>
      </w:r>
    </w:p>
    <w:p>
      <w:pPr>
        <w:pStyle w:val="BodyText"/>
        <w:bidi w:val="0"/>
        <w:spacing w:before="80" w:after="20"/>
        <w:ind w:hanging="0" w:left="80" w:right="80"/>
        <w:jc w:val="left"/>
        <w:rPr>
          <w:sz w:val="16"/>
        </w:rPr>
      </w:pPr>
      <w:r>
        <w:rPr>
          <w:b/>
          <w:sz w:val="16"/>
        </w:rPr>
        <w:t>JTS</w:t>
      </w:r>
      <w:r>
        <w:rPr>
          <w:sz w:val="16"/>
        </w:rPr>
        <w:t xml:space="preserve"> · JTS CPG ID63, Traumatic Brain Injury Management in Prolonged Field Care (06 Dec 2017): printed page </w:t>
      </w:r>
      <w:r>
        <w:rPr>
          <w:b/>
          <w:sz w:val="16"/>
        </w:rPr>
        <w:t>6</w:t>
      </w:r>
      <w:r>
        <w:rPr>
          <w:sz w:val="16"/>
        </w:rPr>
        <w:t xml:space="preserve"> (PDF page 6) · states: condition only</w:t>
      </w:r>
    </w:p>
    <w:p>
      <w:pPr>
        <w:pStyle w:val="BodyText"/>
        <w:bidi w:val="0"/>
        <w:spacing w:before="0" w:after="40"/>
        <w:ind w:hanging="0" w:left="240" w:right="0"/>
        <w:jc w:val="left"/>
        <w:rPr/>
      </w:pPr>
      <w:r>
        <w:rPr/>
        <w:t>“</w:t>
      </w:r>
      <w:r>
        <w:rPr>
          <w:rFonts w:ascii="DejaVu Serif;serif" w:hAnsi="DejaVu Serif;serif"/>
          <w:sz w:val="15"/>
        </w:rPr>
        <w:t>Goal: Suspect high ICP in any head injury patient with GCS score ≤8 OR declining findings on neurologic examination (unless explained by sedation, hypotension, hypoxia, hypercarbia, high fever). Minimize factors that”</w:t>
      </w:r>
    </w:p>
    <w:p>
      <w:pPr>
        <w:pStyle w:val="BodyText"/>
        <w:bidi w:val="0"/>
        <w:ind w:hanging="0" w:left="0" w:right="0"/>
        <w:jc w:val="left"/>
        <w:rPr/>
      </w:pPr>
      <w:r>
        <w:rPr/>
        <w:drawing>
          <wp:inline distT="0" distB="0" distL="0" distR="0">
            <wp:extent cx="6583680" cy="822960"/>
            <wp:effectExtent l="0" t="0" r="0" b="0"/>
            <wp:docPr id="140" name="Image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0" descr=""/>
                    <pic:cNvPicPr>
                      <a:picLocks noChangeAspect="1" noChangeArrowheads="1"/>
                    </pic:cNvPicPr>
                  </pic:nvPicPr>
                  <pic:blipFill>
                    <a:blip r:embed="rId141"/>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ID30, TBI Management and Basic Neurosurgery in the Deployed Environment (15 Sep 2023): printed page </w:t>
      </w:r>
      <w:r>
        <w:rPr>
          <w:b/>
          <w:sz w:val="16"/>
        </w:rPr>
        <w:t>9</w:t>
      </w:r>
      <w:r>
        <w:rPr>
          <w:sz w:val="16"/>
        </w:rPr>
        <w:t xml:space="preserve"> (PDF page 9) · states: condition only</w:t>
      </w:r>
    </w:p>
    <w:p>
      <w:pPr>
        <w:pStyle w:val="BodyText"/>
        <w:bidi w:val="0"/>
        <w:spacing w:before="0" w:after="40"/>
        <w:ind w:hanging="0" w:left="240" w:right="0"/>
        <w:jc w:val="left"/>
        <w:rPr/>
      </w:pPr>
      <w:r>
        <w:rPr/>
        <w:t>“</w:t>
      </w:r>
      <w:r>
        <w:rPr>
          <w:rFonts w:ascii="DejaVu Serif;serif" w:hAnsi="DejaVu Serif;serif"/>
          <w:sz w:val="15"/>
        </w:rPr>
        <w:t>Intracranial hypertension should be suspected based on certain clinical criteria if no CT scan or intracranial monitor is available. These criteria include:  GCS Motor Score &lt; 4  Pupillary asymmetry  Interval development of pupillary asymmetry &gt; 2mm  Abnormal pupil reactivity  Decrease of motor score by &gt; 1  New motor deficit  Hypertension with Bradycardia”</w:t>
      </w:r>
    </w:p>
    <w:p>
      <w:pPr>
        <w:pStyle w:val="BodyText"/>
        <w:bidi w:val="0"/>
        <w:ind w:hanging="0" w:left="0" w:right="0"/>
        <w:jc w:val="left"/>
        <w:rPr/>
      </w:pPr>
      <w:r>
        <w:rPr/>
        <w:drawing>
          <wp:inline distT="0" distB="0" distL="0" distR="0">
            <wp:extent cx="6583680" cy="822960"/>
            <wp:effectExtent l="0" t="0" r="0" b="0"/>
            <wp:docPr id="141" name="Image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1" descr=""/>
                    <pic:cNvPicPr>
                      <a:picLocks noChangeAspect="1" noChangeArrowheads="1"/>
                    </pic:cNvPicPr>
                  </pic:nvPicPr>
                  <pic:blipFill>
                    <a:blip r:embed="rId142"/>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ID15, Cervical and Thoracolumbar Spine Injury Surgical Management and Transport (19 Jun 2020): printed page </w:t>
      </w:r>
      <w:r>
        <w:rPr>
          <w:b/>
          <w:sz w:val="16"/>
        </w:rPr>
        <w:t>24</w:t>
      </w:r>
      <w:r>
        <w:rPr>
          <w:sz w:val="16"/>
        </w:rPr>
        <w:t xml:space="preserve"> (PDF page 24) · states: no contraindication: lumbar puncture mentioned only as myelography technique</w:t>
      </w:r>
    </w:p>
    <w:p>
      <w:pPr>
        <w:pStyle w:val="BodyText"/>
        <w:bidi w:val="0"/>
        <w:spacing w:before="0" w:after="40"/>
        <w:ind w:hanging="0" w:left="240" w:right="0"/>
        <w:jc w:val="left"/>
        <w:rPr/>
      </w:pPr>
      <w:r>
        <w:rPr/>
        <w:t>“</w:t>
      </w:r>
      <w:r>
        <w:rPr>
          <w:rFonts w:ascii="DejaVu Serif;serif" w:hAnsi="DejaVu Serif;serif"/>
          <w:sz w:val="15"/>
        </w:rPr>
        <w:t>For total columnar myelography, instill 6-12.5 mL of Omnipaque 240, or 6-10 mL of Omnipaque 300, via standard lumbar puncture over 1-2 minutes. To allow time for complete opacification of the”</w:t>
      </w:r>
    </w:p>
    <w:p>
      <w:pPr>
        <w:pStyle w:val="BodyText"/>
        <w:bidi w:val="0"/>
        <w:ind w:hanging="0" w:left="0" w:right="0"/>
        <w:jc w:val="left"/>
        <w:rPr/>
      </w:pPr>
      <w:r>
        <w:rPr/>
        <w:drawing>
          <wp:inline distT="0" distB="0" distL="0" distR="0">
            <wp:extent cx="6583680" cy="822960"/>
            <wp:effectExtent l="0" t="0" r="0" b="0"/>
            <wp:docPr id="142" name="Image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2" descr=""/>
                    <pic:cNvPicPr>
                      <a:picLocks noChangeAspect="1" noChangeArrowheads="1"/>
                    </pic:cNvPicPr>
                  </pic:nvPicPr>
                  <pic:blipFill>
                    <a:blip r:embed="rId143"/>
                    <a:srcRect l="-113" t="-912" r="-113" b="-912"/>
                    <a:stretch>
                      <a:fillRect/>
                    </a:stretch>
                  </pic:blipFill>
                  <pic:spPr bwMode="auto">
                    <a:xfrm>
                      <a:off x="0" y="0"/>
                      <a:ext cx="6583680" cy="82296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r>
        <w:br w:type="page"/>
      </w:r>
    </w:p>
    <w:p>
      <w:pPr>
        <w:pStyle w:val="BodyText"/>
        <w:bidi w:val="0"/>
        <w:ind w:hanging="0" w:left="0" w:right="0"/>
        <w:jc w:val="left"/>
        <w:rPr>
          <w:color w:val="555555"/>
          <w:sz w:val="16"/>
        </w:rPr>
      </w:pPr>
      <w:r>
        <w:rPr>
          <w:color w:val="555555"/>
          <w:sz w:val="16"/>
        </w:rPr>
        <w:t>EdgeCDSS signing batch 3: review packet · Procedure row · P2</w:t>
      </w:r>
    </w:p>
    <w:p>
      <w:pPr>
        <w:pStyle w:val="Heading2"/>
        <w:bidi w:val="0"/>
        <w:spacing w:before="40" w:after="80"/>
        <w:ind w:hanging="0" w:left="40" w:right="40"/>
        <w:jc w:val="left"/>
        <w:rPr>
          <w:sz w:val="28"/>
        </w:rPr>
      </w:pPr>
      <w:r>
        <w:rPr>
          <w:sz w:val="28"/>
        </w:rPr>
        <w:t>P2. Procedure: NG tube: contraindicated with a basilar skull fracture or its signs</w:t>
      </w:r>
    </w:p>
    <w:tbl>
      <w:tblPr>
        <w:tblW w:w="8204" w:type="dxa"/>
        <w:jc w:val="left"/>
        <w:tblInd w:w="0" w:type="dxa"/>
        <w:tblLayout w:type="fixed"/>
        <w:tblCellMar>
          <w:top w:w="40" w:type="dxa"/>
          <w:left w:w="80" w:type="dxa"/>
          <w:bottom w:w="40" w:type="dxa"/>
          <w:right w:w="80" w:type="dxa"/>
        </w:tblCellMar>
      </w:tblPr>
      <w:tblGrid>
        <w:gridCol w:w="1301"/>
        <w:gridCol w:w="3836"/>
        <w:gridCol w:w="1286"/>
        <w:gridCol w:w="1781"/>
      </w:tblGrid>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Drug</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(procedure)</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Population</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adult|peds</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Indication</w:t>
            </w:r>
          </w:p>
        </w:tc>
        <w:tc>
          <w:tcPr>
            <w:tcW w:w="3836"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NG tube: contraindicated with a basilar skull fracture or its signs</w:t>
            </w:r>
          </w:p>
        </w:tc>
        <w:tc>
          <w:tcPr>
            <w:tcW w:w="1286"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Route</w:t>
            </w:r>
          </w:p>
        </w:tc>
        <w:tc>
          <w:tcPr>
            <w:tcW w:w="1781" w:type="dxa"/>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pPr>
            <w:r>
              <w:rPr/>
              <w:t>—</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Proposed dose</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b/>
                <w:sz w:val="19"/>
              </w:rPr>
            </w:pPr>
            <w:r>
              <w:rPr>
                <w:b/>
                <w:sz w:val="19"/>
              </w:rPr>
              <w:t>Hold advice, as it would be served: The answer advised an NG tube, but a basilar skull fracture, or its signs, is recorded. A nasal tube is a recognised contraindication here. Use local protocol and medical control.</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Max</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ind w:hanging="0" w:left="0" w:right="0"/>
              <w:jc w:val="left"/>
              <w:rPr>
                <w:sz w:val="19"/>
              </w:rPr>
            </w:pPr>
            <w:r>
              <w:rPr>
                <w:sz w:val="19"/>
              </w:rPr>
              <w:t>n/a</w:t>
            </w:r>
          </w:p>
        </w:tc>
      </w:tr>
      <w:tr>
        <w:trPr/>
        <w:tc>
          <w:tcPr>
            <w:tcW w:w="1301" w:type="dxa"/>
            <w:tcBorders>
              <w:top w:val="single" w:sz="2" w:space="0" w:color="888888"/>
              <w:left w:val="single" w:sz="2" w:space="0" w:color="888888"/>
              <w:bottom w:val="single" w:sz="2" w:space="0" w:color="888888"/>
              <w:right w:val="single" w:sz="2" w:space="0" w:color="888888"/>
            </w:tcBorders>
            <w:shd w:fill="EEEEEE" w:val="clear"/>
            <w:vAlign w:val="center"/>
          </w:tcPr>
          <w:p>
            <w:pPr>
              <w:pStyle w:val="TableContents"/>
              <w:bidi w:val="0"/>
              <w:ind w:hanging="0" w:left="0" w:right="0"/>
              <w:jc w:val="left"/>
              <w:rPr>
                <w:sz w:val="19"/>
              </w:rPr>
            </w:pPr>
            <w:r>
              <w:rPr>
                <w:sz w:val="19"/>
              </w:rPr>
              <w:t>Repeat</w:t>
            </w:r>
          </w:p>
        </w:tc>
        <w:tc>
          <w:tcPr>
            <w:tcW w:w="6903" w:type="dxa"/>
            <w:gridSpan w:val="3"/>
            <w:tcBorders>
              <w:top w:val="single" w:sz="2" w:space="0" w:color="888888"/>
              <w:left w:val="single" w:sz="2" w:space="0" w:color="888888"/>
              <w:bottom w:val="single" w:sz="2" w:space="0" w:color="888888"/>
              <w:right w:val="single" w:sz="2" w:space="0" w:color="888888"/>
            </w:tcBorders>
            <w:vAlign w:val="center"/>
          </w:tcPr>
          <w:p>
            <w:pPr>
              <w:pStyle w:val="TableContents"/>
              <w:bidi w:val="0"/>
              <w:jc w:val="left"/>
              <w:rPr>
                <w:sz w:val="19"/>
              </w:rPr>
            </w:pPr>
            <w:r>
              <w:rPr>
                <w:sz w:val="19"/>
              </w:rPr>
              <w:t>n/a</w:t>
            </w:r>
          </w:p>
        </w:tc>
      </w:tr>
    </w:tbl>
    <w:p>
      <w:pPr>
        <w:pStyle w:val="BodyText"/>
        <w:bidi w:val="0"/>
        <w:spacing w:before="60" w:after="60"/>
        <w:ind w:hanging="0" w:left="60" w:right="60"/>
        <w:jc w:val="left"/>
        <w:rPr>
          <w:sz w:val="15"/>
        </w:rPr>
      </w:pPr>
      <w:r>
        <w:rPr>
          <w:b/>
          <w:sz w:val="15"/>
        </w:rPr>
        <w:t>Note:</w:t>
      </w:r>
      <w:r>
        <w:rPr>
          <w:sz w:val="15"/>
        </w:rPr>
        <w:t xml:space="preserve"> No JTS, SMOG or NASEMSO page links an NG tube to a basilar skull fracture. Searched all three for 'nasogastric', 'naso-gastric', 'NG tube', 'NGT', 'OG tube', 'orogastric', 'gastric tube', 'basilar', 'basal skull', 'skull base', 'cribriform', 'raccoon', 'Battle'. Basilar skull fracture appears as a contraindication only for a nasopharyngeal airway (JTS ID39 2026 p.3 and p.8; NASEMSO p.234), which is the signed P3/NPA ground, not an NG tube. SMOG p.73 says an OG/NG tube is inserted 'unless contraindicated' without naming any contraindication. JTS Mechanical Ventilation CCATT (10 Mar 2025) p.6 prefers large-bore oro-gastric over naso-gastric tubes 'to reduce the risk of sinusitis' (not a skull-fracture reason). The signs are sourced in ID90 p.6. Advice as it would be served (procedure_contracts.json hold_text): 'The answer advised an NG tube, but a basilar skull fracture, or its signs, is recorded. A nasal tube is a recognised contraindication here. Use local protocol and medical control.'</w:t>
      </w:r>
    </w:p>
    <w:p>
      <w:pPr>
        <w:pStyle w:val="BodyText"/>
        <w:bidi w:val="0"/>
        <w:spacing w:before="80" w:after="20"/>
        <w:ind w:hanging="0" w:left="80" w:right="80"/>
        <w:jc w:val="left"/>
        <w:rPr>
          <w:sz w:val="16"/>
        </w:rPr>
      </w:pPr>
      <w:r>
        <w:rPr>
          <w:b/>
          <w:sz w:val="16"/>
        </w:rPr>
        <w:t>JTS</w:t>
      </w:r>
      <w:r>
        <w:rPr>
          <w:sz w:val="16"/>
        </w:rPr>
        <w:t xml:space="preserve"> · JTS CPG ID90, Use of TBI WB Biomarkers after Potentially Concussive Event (14 Apr 2025): printed page </w:t>
      </w:r>
      <w:r>
        <w:rPr>
          <w:b/>
          <w:sz w:val="16"/>
        </w:rPr>
        <w:t>6</w:t>
      </w:r>
      <w:r>
        <w:rPr>
          <w:sz w:val="16"/>
        </w:rPr>
        <w:t xml:space="preserve"> (PDF page 6) · states: condition only</w:t>
      </w:r>
    </w:p>
    <w:p>
      <w:pPr>
        <w:pStyle w:val="BodyText"/>
        <w:bidi w:val="0"/>
        <w:spacing w:before="0" w:after="40"/>
        <w:ind w:hanging="0" w:left="240" w:right="0"/>
        <w:jc w:val="left"/>
        <w:rPr/>
      </w:pPr>
      <w:r>
        <w:rPr/>
        <w:t>“</w:t>
      </w:r>
      <w:r>
        <w:rPr>
          <w:rFonts w:ascii="DejaVu Serif;serif" w:hAnsi="DejaVu Serif;serif"/>
          <w:sz w:val="15"/>
        </w:rPr>
        <w:t>In addition, casualties with evidence suspicious for a penetrating brain injury, depressed skull fracture, or signs of a basilar skull fracture (e.g., raccoon eyes, Battle’s sign, otorrhea) should be referred urgently for CT scan.”</w:t>
      </w:r>
    </w:p>
    <w:p>
      <w:pPr>
        <w:pStyle w:val="BodyText"/>
        <w:bidi w:val="0"/>
        <w:ind w:hanging="0" w:left="0" w:right="0"/>
        <w:jc w:val="left"/>
        <w:rPr/>
      </w:pPr>
      <w:r>
        <w:rPr/>
        <w:drawing>
          <wp:inline distT="0" distB="0" distL="0" distR="0">
            <wp:extent cx="6583680" cy="448310"/>
            <wp:effectExtent l="0" t="0" r="0" b="0"/>
            <wp:docPr id="143" name="Image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3" descr=""/>
                    <pic:cNvPicPr>
                      <a:picLocks noChangeAspect="1" noChangeArrowheads="1"/>
                    </pic:cNvPicPr>
                  </pic:nvPicPr>
                  <pic:blipFill>
                    <a:blip r:embed="rId144"/>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ID39, Airway Management in Trauma (28 Jan 2026): printed page </w:t>
      </w:r>
      <w:r>
        <w:rPr>
          <w:b/>
          <w:sz w:val="16"/>
        </w:rPr>
        <w:t>8</w:t>
      </w:r>
      <w:r>
        <w:rPr>
          <w:sz w:val="16"/>
        </w:rPr>
        <w:t xml:space="preserve"> (PDF page 8) · states: no contraindication for NG tube: basilar skull fracture contraindicates an NPA, not an NG tube</w:t>
      </w:r>
    </w:p>
    <w:p>
      <w:pPr>
        <w:pStyle w:val="BodyText"/>
        <w:bidi w:val="0"/>
        <w:spacing w:before="0" w:after="40"/>
        <w:ind w:hanging="0" w:left="240" w:right="0"/>
        <w:jc w:val="left"/>
        <w:rPr/>
      </w:pPr>
      <w:r>
        <w:rPr/>
        <w:t>“</w:t>
      </w:r>
      <w:r>
        <w:rPr>
          <w:rFonts w:ascii="DejaVu Serif;serif" w:hAnsi="DejaVu Serif;serif"/>
          <w:sz w:val="15"/>
        </w:rPr>
        <w:t>Nasopharyngeal Easy Risk of nose bleeds with placement and 0 airway (NPA) sizing challenges. Should not be used if suspect basilar skull fracture.”</w:t>
      </w:r>
    </w:p>
    <w:p>
      <w:pPr>
        <w:pStyle w:val="BodyText"/>
        <w:bidi w:val="0"/>
        <w:ind w:hanging="0" w:left="0" w:right="0"/>
        <w:jc w:val="left"/>
        <w:rPr/>
      </w:pPr>
      <w:r>
        <w:rPr/>
        <w:drawing>
          <wp:inline distT="0" distB="0" distL="0" distR="0">
            <wp:extent cx="6583680" cy="448310"/>
            <wp:effectExtent l="0" t="0" r="0" b="0"/>
            <wp:docPr id="144" name="Image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4" descr=""/>
                    <pic:cNvPicPr>
                      <a:picLocks noChangeAspect="1" noChangeArrowheads="1"/>
                    </pic:cNvPicPr>
                  </pic:nvPicPr>
                  <pic:blipFill>
                    <a:blip r:embed="rId145"/>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JTS</w:t>
      </w:r>
      <w:r>
        <w:rPr>
          <w:sz w:val="16"/>
        </w:rPr>
        <w:t xml:space="preserve"> · JTS CPG ID63, Traumatic Brain Injury Management in Prolonged Field Care (06 Dec 2017): printed page </w:t>
      </w:r>
      <w:r>
        <w:rPr>
          <w:b/>
          <w:sz w:val="16"/>
        </w:rPr>
        <w:t>6</w:t>
      </w:r>
      <w:r>
        <w:rPr>
          <w:sz w:val="16"/>
        </w:rPr>
        <w:t xml:space="preserve"> (PDF page 6) · states: no contraindication for this condition: NGT/OGT limited only by a supraglottic airway</w:t>
      </w:r>
    </w:p>
    <w:p>
      <w:pPr>
        <w:pStyle w:val="BodyText"/>
        <w:bidi w:val="0"/>
        <w:spacing w:before="0" w:after="40"/>
        <w:ind w:hanging="0" w:left="240" w:right="0"/>
        <w:jc w:val="left"/>
        <w:rPr/>
      </w:pPr>
      <w:r>
        <w:rPr/>
        <w:t xml:space="preserve">“ </w:t>
      </w:r>
      <w:r>
        <w:rPr>
          <w:rFonts w:ascii="DejaVu Serif;serif" w:hAnsi="DejaVu Serif;serif"/>
          <w:sz w:val="15"/>
        </w:rPr>
        <w:t>Gastric decompression with a nasogastric tube (NGT) or oral gastric tube (OGT) will decrease the risk of aspiration in unconscious patients. If patients required bag-masking, they may have a distended stomach, which, in some patients, contributes to bradycardia. NGT and OGT cannot be placed with a supraglottic airway.”</w:t>
      </w:r>
    </w:p>
    <w:p>
      <w:pPr>
        <w:pStyle w:val="BodyText"/>
        <w:bidi w:val="0"/>
        <w:ind w:hanging="0" w:left="0" w:right="0"/>
        <w:jc w:val="left"/>
        <w:rPr/>
      </w:pPr>
      <w:r>
        <w:rPr/>
        <w:drawing>
          <wp:inline distT="0" distB="0" distL="0" distR="0">
            <wp:extent cx="6583680" cy="448310"/>
            <wp:effectExtent l="0" t="0" r="0" b="0"/>
            <wp:docPr id="145" name="Image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5" descr=""/>
                    <pic:cNvPicPr>
                      <a:picLocks noChangeAspect="1" noChangeArrowheads="1"/>
                    </pic:cNvPicPr>
                  </pic:nvPicPr>
                  <pic:blipFill>
                    <a:blip r:embed="rId146"/>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bidi w:val="0"/>
        <w:spacing w:before="80" w:after="20"/>
        <w:ind w:hanging="0" w:left="80" w:right="80"/>
        <w:jc w:val="left"/>
        <w:rPr>
          <w:sz w:val="16"/>
        </w:rPr>
      </w:pPr>
      <w:r>
        <w:rPr>
          <w:b/>
          <w:sz w:val="16"/>
        </w:rPr>
        <w:t>NASEMSO (noted only, not a basis for the dose)</w:t>
      </w:r>
      <w:r>
        <w:rPr>
          <w:sz w:val="16"/>
        </w:rPr>
        <w:t xml:space="preserve"> · NASEMSO National Model EMS Clinical Guidelines v3.0: printed page </w:t>
      </w:r>
      <w:r>
        <w:rPr>
          <w:b/>
          <w:sz w:val="16"/>
        </w:rPr>
        <w:t>234</w:t>
      </w:r>
      <w:r>
        <w:rPr>
          <w:sz w:val="16"/>
        </w:rPr>
        <w:t xml:space="preserve"> (PDF page 234) · states: no contraindication for NG tube: nasal airway only</w:t>
      </w:r>
    </w:p>
    <w:p>
      <w:pPr>
        <w:pStyle w:val="BodyText"/>
        <w:bidi w:val="0"/>
        <w:spacing w:before="0" w:after="40"/>
        <w:ind w:hanging="0" w:left="240" w:right="0"/>
        <w:jc w:val="left"/>
        <w:rPr/>
      </w:pPr>
      <w:r>
        <w:rPr/>
        <w:t>“</w:t>
      </w:r>
      <w:r>
        <w:rPr>
          <w:rFonts w:ascii="DejaVu Serif;serif" w:hAnsi="DejaVu Serif;serif"/>
          <w:sz w:val="15"/>
        </w:rPr>
        <w:t>b. If patient unable to maintain airway, consider oral airway (nasal airway should not be used with significant facial injury or possible basilar skull fracture)”</w:t>
      </w:r>
    </w:p>
    <w:p>
      <w:pPr>
        <w:pStyle w:val="BodyText"/>
        <w:bidi w:val="0"/>
        <w:ind w:hanging="0" w:left="0" w:right="0"/>
        <w:jc w:val="left"/>
        <w:rPr/>
      </w:pPr>
      <w:r>
        <w:rPr/>
        <w:drawing>
          <wp:inline distT="0" distB="0" distL="0" distR="0">
            <wp:extent cx="6583680" cy="448310"/>
            <wp:effectExtent l="0" t="0" r="0" b="0"/>
            <wp:docPr id="146" name="Image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6" descr=""/>
                    <pic:cNvPicPr>
                      <a:picLocks noChangeAspect="1" noChangeArrowheads="1"/>
                    </pic:cNvPicPr>
                  </pic:nvPicPr>
                  <pic:blipFill>
                    <a:blip r:embed="rId147"/>
                    <a:srcRect l="-113" t="-1680" r="-113" b="-1680"/>
                    <a:stretch>
                      <a:fillRect/>
                    </a:stretch>
                  </pic:blipFill>
                  <pic:spPr bwMode="auto">
                    <a:xfrm>
                      <a:off x="0" y="0"/>
                      <a:ext cx="6583680" cy="448310"/>
                    </a:xfrm>
                    <a:prstGeom prst="rect">
                      <a:avLst/>
                    </a:prstGeom>
                    <a:ln>
                      <a:solidFill>
                        <a:srgbClr val="999999"/>
                      </a:solidFill>
                    </a:ln>
                  </pic:spPr>
                </pic:pic>
              </a:graphicData>
            </a:graphic>
          </wp:inline>
        </w:drawing>
      </w:r>
    </w:p>
    <w:p>
      <w:pPr>
        <w:pStyle w:val="BodyText"/>
        <w:pBdr>
          <w:top w:val="single" w:sz="2" w:space="4" w:color="000000"/>
        </w:pBdr>
        <w:bidi w:val="0"/>
        <w:spacing w:before="160" w:after="160"/>
        <w:ind w:hanging="0" w:left="160" w:right="160"/>
        <w:jc w:val="left"/>
        <w:rPr>
          <w:sz w:val="22"/>
        </w:rPr>
      </w:pPr>
      <w:r>
        <w:rPr>
          <w:b/>
          <w:sz w:val="22"/>
        </w:rPr>
        <w:t>Decision:</w:t>
      </w:r>
      <w:r>
        <w:rPr>
          <w:sz w:val="22"/>
        </w:rPr>
        <w:t>  ☐ SIGN    ☒ RETIRE (pre-marked: no JTS or SMOG page states a number)    ☐ DEFER    Initials ______ Date ________</w:t>
      </w:r>
    </w:p>
    <w:sectPr>
      <w:type w:val="nextPage"/>
      <w:pgSz w:w="12240" w:h="15840"/>
      <w:pgMar w:left="864" w:right="864" w:gutter="0" w:header="0" w:top="720" w:footer="0" w:bottom="7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 w:name="DejaVu Serif">
    <w:altName w:val="serif"/>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ans;sans-serif" w:hAnsi="DejaVu Sans;sans-serif" w:eastAsia="DejaVu Sans;sans-serif" w:cs="DejaVu Sans;sans-serif"/>
      <w:color w:val="auto"/>
      <w:sz w:val="20"/>
      <w:szCs w:val="20"/>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image" Target="media/image82.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png"/><Relationship Id="rId98" Type="http://schemas.openxmlformats.org/officeDocument/2006/relationships/image" Target="media/image96.png"/><Relationship Id="rId99" Type="http://schemas.openxmlformats.org/officeDocument/2006/relationships/image" Target="media/image97.png"/><Relationship Id="rId100" Type="http://schemas.openxmlformats.org/officeDocument/2006/relationships/image" Target="media/image98.png"/><Relationship Id="rId101" Type="http://schemas.openxmlformats.org/officeDocument/2006/relationships/image" Target="media/image98.png"/><Relationship Id="rId102" Type="http://schemas.openxmlformats.org/officeDocument/2006/relationships/image" Target="media/image98.png"/><Relationship Id="rId103" Type="http://schemas.openxmlformats.org/officeDocument/2006/relationships/image" Target="media/image98.png"/><Relationship Id="rId104" Type="http://schemas.openxmlformats.org/officeDocument/2006/relationships/image" Target="media/image98.png"/><Relationship Id="rId105" Type="http://schemas.openxmlformats.org/officeDocument/2006/relationships/image" Target="media/image98.png"/><Relationship Id="rId106" Type="http://schemas.openxmlformats.org/officeDocument/2006/relationships/image" Target="media/image98.png"/><Relationship Id="rId107" Type="http://schemas.openxmlformats.org/officeDocument/2006/relationships/image" Target="media/image98.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fontTable" Target="fontTable.xml"/><Relationship Id="rId149" Type="http://schemas.openxmlformats.org/officeDocument/2006/relationships/settings" Target="settings.xml"/><Relationship Id="rId1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EdgeCDSS signing batch 3: review packet</dc:title>
</cp:coreProperties>
</file>

<file path=docProps/custom.xml><?xml version="1.0" encoding="utf-8"?>
<Properties xmlns="http://schemas.openxmlformats.org/officeDocument/2006/custom-properties" xmlns:vt="http://schemas.openxmlformats.org/officeDocument/2006/docPropsVTypes"/>
</file>