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здравоохранения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МОСКОВСКИЙ ГОСУДАРСТВЕННЫЙ МЕДИЦИНСКИЙ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И.М. СЕЧЕНОВА (Сеченовский Университет)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социологии медицины, экономики здравоохранения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медицинского страхования Института социальных наук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лингвистики и межкультурной коммуникации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свёрточной нейронной сети для автоматической классификации типов сердечных сокращений по данным ЭКГ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подготовки: 45.03.04. Интеллектуальные системы в гуманитарной сфере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Обучающийся: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Дамирова Агнесса Назимовна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Актуальность: Сердечно-сосудистые заболевания являются одной из основных причин смертности по всему миру. ЭКГ - ключевой метод диагностики, но ручной анализ кардиограмм трудоемок и подвержен субъективным ошибкам. Автоматизация позволяет ускорить диагностику и повысить ее точность.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Клиническая задача: Автоматическая классификация сердечных сокращений на основе сигнала ЭКГ для выявления аритмий.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Декомпозиция задачи: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Сбор и предобработка размеченного набора данных ЭКГ-сигналов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Выбор и настройка архитектуры нейронной сети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Обучение модели на классификации пяти типов сокращений: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норма (N)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желудочковая экстрасистола (V)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суправентрикулярная экстрасистола (S)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фузия (F)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неклассифицируемое сокращение (Q)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Оценка точности модели и анализ ее ошибок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Ключевые результаты: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Разработанная модель достигла высокой общей точности (accuracy) - 98.41%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Надежность распознавания (precision) составила 96%, что свидетельствует о низком проценте ложных срабатываний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Наиболее значимым наблюдением стала систематическая ошибка модели в различении классов 1(V)  и 3 (F). Матрица ошибок показывает что модель чаще всего путает именно эти два типа сокращений: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31 случай из класса 3 (F) был ошибочно классифицирован как класс 0 (N)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24 случая из класса 3 (F) были ошибочно классифицированы как класс 2 (S)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этом класс 1 (V) также имеет значительное число ошибок (147 случаев отнесены к классу 0 (N))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Вывод по результатам: полученные данные позволяют выдвинуть научную гипотезу о том, что желудочковая экстрасистола (V) и фузионные сокращения (F) имеют схожие паттерны на электрокардиограмме, что затрудняет их дифференциальную диагностику не только для автоматических алгоритмов, но, потенциально, и для врачей-кардиологов. Это направление требует дальнейшего углубленного исследования.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line="325.71428571428567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Hannun, A. Y., et al. (2019). Cardiologist-level arrhythmia detection and classification in ambulatory electrocardiograms using a deep neural network. Nature Medicine.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line="325.71428571428567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Kiranyaz, S., et al. (2016). Real-time patient-specific ECG classification by 1D convolutional neural networks. IEEE Transactions on Biomedical Engineering.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line="325.71428571428567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Moody, G. B., &amp; Mark, R. G. (2001). The impact of the MIT-BIH Arrhythmia Database. IEEE Engineering in Medicine and Biology Magazine.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line="325.71428571428567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Sörnmo, L., &amp; Laguna, P. (2005). Electrocardiogram (ECG) signal processing. In: Bioelectrical Signal Processing in Cardiac and Neurological Applications.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line="325.71428571428567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111111"/>
          <w:sz w:val="24"/>
          <w:szCs w:val="24"/>
          <w:rtl w:val="0"/>
        </w:rPr>
        <w:t xml:space="preserve">Moningi, R., Mahakur, S., Mundada, S., Tripathy, A. K. (2024). Explainable AI-Based ECG Heartbeat Classification Using Deep Learning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ind w:left="45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