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ff730c52a1abb828569ab53b55eb8db7c04779"/>
    <w:p>
      <w:pPr>
        <w:pStyle w:val="Heading1"/>
      </w:pPr>
      <w:r>
        <w:t xml:space="preserve">Ultrafast Complex Multimodal Imaging Reconstruction and Visual Correspondence via Thin-Film Lithium Niobate Photonic Layers</w:t>
      </w:r>
    </w:p>
    <w:p>
      <w:pPr>
        <w:pStyle w:val="FirstParagraph"/>
      </w:pPr>
      <w:r>
        <w:rPr>
          <w:b/>
          <w:bCs/>
        </w:rPr>
        <w:t xml:space="preserve">A Technical Report on Photonic Intelligence, Finite Mathematics, and Extreme Scale Computations</w:t>
      </w:r>
    </w:p>
    <w:bookmarkEnd w:id="9"/>
    <w:p>
      <w:r>
        <w:pict>
          <v:rect style="width:0;height:1.5pt" o:hralign="center" o:hrstd="t" o:hr="t"/>
        </w:pict>
      </w:r>
    </w:p>
    <w:bookmarkStart w:id="10" w:name="abstract"/>
    <w:p>
      <w:pPr>
        <w:pStyle w:val="Heading2"/>
      </w:pPr>
      <w:r>
        <w:t xml:space="preserve">Abstract</w:t>
      </w:r>
    </w:p>
    <w:p>
      <w:pPr>
        <w:pStyle w:val="FirstParagraph"/>
      </w:pPr>
      <w:r>
        <w:t xml:space="preserve">The exponentially growing demand for high-throughput, low-latency processing in complex multimodal imaging (such as Magnetic Resonance Imaging, MRI) and Large Language Model (LLM) visual correspondence has surpassed the capabilities of traditional electronic von Neumann architectures. We report a comprehensive framework utilizing Thin-Film Lithium Niobate (TFLN) photonic core simulators to perform ultrafast signal reconstruction and visual feature extraction. By employing finite mathematical modeling of the Discrete Fourier Transform (DFT) and complex matrix multiplication over continuous wave optical domains, our architecture achieves computational latencies on the order of</w:t>
      </w:r>
      <w:r>
        <w:t xml:space="preserve"> </w:t>
      </w:r>
      <m:oMath>
        <m:r>
          <m:rPr>
            <m:sty m:val="p"/>
          </m:rPr>
          <m:t>≈</m:t>
        </m:r>
        <m:r>
          <m:t>93.5</m:t>
        </m:r>
        <m:r>
          <m:rPr>
            <m:nor/>
            <m:sty m:val="p"/>
          </m:rPr>
          <m:t> ns</m:t>
        </m:r>
      </m:oMath>
      <w:r>
        <w:t xml:space="preserve"> </w:t>
      </w:r>
      <w:r>
        <w:t xml:space="preserve">and a throughput of</w:t>
      </w:r>
      <w:r>
        <w:t xml:space="preserve"> </w:t>
      </w:r>
      <m:oMath>
        <m:r>
          <m:rPr>
            <m:sty m:val="p"/>
          </m:rPr>
          <m:t>≈</m:t>
        </m:r>
        <m:r>
          <m:t>6335</m:t>
        </m:r>
        <m:r>
          <m:rPr>
            <m:nor/>
            <m:sty m:val="p"/>
          </m:rPr>
          <m:t> TOPS</m:t>
        </m:r>
      </m:oMath>
      <w:r>
        <w:t xml:space="preserve">, demonstrating a speedup of over 5 orders of magnitude compared to legacy electronic baselines.</w:t>
      </w:r>
    </w:p>
    <w:bookmarkEnd w:id="10"/>
    <w:bookmarkStart w:id="11" w:name="introduction"/>
    <w:p>
      <w:pPr>
        <w:pStyle w:val="Heading2"/>
      </w:pPr>
      <w:r>
        <w:t xml:space="preserve">1. Introduction</w:t>
      </w:r>
    </w:p>
    <w:p>
      <w:pPr>
        <w:pStyle w:val="FirstParagraph"/>
      </w:pPr>
      <w:r>
        <w:t xml:space="preserve">Modern diagnostic and artificial intelligence workloads are inherently bottlenecked by memory interconnects and transistor scaling limits. MRI physics fundamentally relies on the collection of k-space data (frequency domain) which requires computationally intensive 2D Inverse Fast Fourier Transforms (iFFT) for spatial image reconstruction. Similarly, modern multimodal LLMs (e.g., Vision Transformers) require massive matrix-vector multiplications to map multi-dimensional visual inputs into latent semantic spaces.</w:t>
      </w:r>
    </w:p>
    <w:p>
      <w:pPr>
        <w:pStyle w:val="BodyText"/>
      </w:pPr>
      <w:r>
        <w:t xml:space="preserve">Silicon photonics and TFLN waveguides offer an analog computing paradigm where finite math and wave interference naturally compute unitary affine transformations at the speed of light.</w:t>
      </w:r>
    </w:p>
    <w:bookmarkEnd w:id="11"/>
    <w:bookmarkStart w:id="14" w:name="Xf7422c118d432ace6575f5d498abce35322c5e6"/>
    <w:p>
      <w:pPr>
        <w:pStyle w:val="Heading2"/>
      </w:pPr>
      <w:r>
        <w:t xml:space="preserve">2. Finite Mathematical Framework &amp; Photonic Simulation</w:t>
      </w:r>
    </w:p>
    <w:bookmarkStart w:id="12" w:name="optical-discrete-fourier-transform"/>
    <w:p>
      <w:pPr>
        <w:pStyle w:val="Heading3"/>
      </w:pPr>
      <w:r>
        <w:t xml:space="preserve">2.1 Optical Discrete Fourier Transform</w:t>
      </w:r>
    </w:p>
    <w:p>
      <w:pPr>
        <w:pStyle w:val="FirstParagraph"/>
      </w:pPr>
      <w:r>
        <w:t xml:space="preserve">The photonic Discrete Fourier Transform (DFT) leverages a series of Mach-Zehnder Interferometers (MZIs) configured to realize a Cooley-Tukey-like unitary matrix operation. For a discretely sampled continuous k-space signal vector</w:t>
      </w:r>
      <w:r>
        <w:t xml:space="preserve"> </w:t>
      </w:r>
      <m:oMath>
        <m:r>
          <m:rPr>
            <m:sty m:val="bi"/>
          </m:rPr>
          <m:t>x</m:t>
        </m:r>
        <m:r>
          <m:rPr>
            <m:sty m:val="p"/>
          </m:rPr>
          <m:t>∈</m:t>
        </m:r>
        <m:sSup>
          <m:e>
            <m:r>
              <m:rPr>
                <m:scr m:val="double-struck"/>
                <m:sty m:val="p"/>
              </m:rPr>
              <m:t>C</m:t>
            </m:r>
          </m:e>
          <m:sup>
            <m:r>
              <m:t>N</m:t>
            </m:r>
          </m:sup>
        </m:sSup>
      </m:oMath>
      <w:r>
        <w:t xml:space="preserve">, the output amplitudes</w:t>
      </w:r>
      <w:r>
        <w:t xml:space="preserve"> </w:t>
      </w:r>
      <m:oMath>
        <m:r>
          <m:rPr>
            <m:sty m:val="bi"/>
          </m:rPr>
          <m:t>y</m:t>
        </m:r>
      </m:oMath>
      <w:r>
        <w:t xml:space="preserve"> </w:t>
      </w:r>
      <w:r>
        <w:t xml:space="preserve">are given by:</w:t>
      </w:r>
    </w:p>
    <w:p>
      <w:pPr>
        <w:pStyle w:val="BodyText"/>
      </w:pPr>
      <m:oMathPara>
        <m:oMathParaPr>
          <m:jc m:val="center"/>
        </m:oMathParaPr>
        <m:oMath>
          <m:sSub>
            <m:e>
              <m:r>
                <m:rPr>
                  <m:sty m:val="bi"/>
                </m:rPr>
                <m:t>y</m:t>
              </m:r>
            </m:e>
            <m:sub>
              <m:r>
                <m:t>k</m:t>
              </m:r>
            </m:sub>
          </m:sSub>
          <m:r>
            <m:rPr>
              <m:sty m:val="p"/>
            </m:rPr>
            <m:t>=</m:t>
          </m:r>
          <m:f>
            <m:fPr>
              <m:type m:val="bar"/>
            </m:fPr>
            <m:num>
              <m:r>
                <m:t>1</m:t>
              </m:r>
            </m:num>
            <m:den>
              <m:rad>
                <m:radPr>
                  <m:degHide m:val="on"/>
                </m:radPr>
                <m:deg/>
                <m:e>
                  <m:r>
                    <m:t>N</m:t>
                  </m:r>
                </m:e>
              </m:rad>
            </m:den>
          </m:f>
          <m:nary>
            <m:naryPr>
              <m:chr m:val="∑"/>
              <m:limLoc m:val="undOvr"/>
              <m:subHide m:val="off"/>
              <m:supHide m:val="off"/>
            </m:naryPr>
            <m:sub>
              <m:r>
                <m:t>n</m:t>
              </m:r>
              <m:r>
                <m:rPr>
                  <m:sty m:val="p"/>
                </m:rPr>
                <m:t>=</m:t>
              </m:r>
              <m:r>
                <m:t>0</m:t>
              </m:r>
            </m:sub>
            <m:sup>
              <m:r>
                <m:t>N</m:t>
              </m:r>
              <m:r>
                <m:rPr>
                  <m:sty m:val="p"/>
                </m:rPr>
                <m:t>−</m:t>
              </m:r>
              <m:r>
                <m:t>1</m:t>
              </m:r>
            </m:sup>
            <m:e>
              <m:sSub>
                <m:e>
                  <m:r>
                    <m:rPr>
                      <m:sty m:val="bi"/>
                    </m:rPr>
                    <m:t>x</m:t>
                  </m:r>
                </m:e>
                <m:sub>
                  <m:r>
                    <m:t>n</m:t>
                  </m:r>
                </m:sub>
              </m:sSub>
            </m:e>
          </m:nary>
          <m:sSup>
            <m:e>
              <m:r>
                <m:t>e</m:t>
              </m:r>
            </m:e>
            <m:sup>
              <m:r>
                <m:rPr>
                  <m:sty m:val="p"/>
                </m:rPr>
                <m:t>−</m:t>
              </m:r>
              <m:r>
                <m:t>j</m:t>
              </m:r>
              <m:f>
                <m:fPr>
                  <m:type m:val="bar"/>
                </m:fPr>
                <m:num>
                  <m:r>
                    <m:t>2</m:t>
                  </m:r>
                  <m:r>
                    <m:t>π</m:t>
                  </m:r>
                </m:num>
                <m:den>
                  <m:r>
                    <m:t>N</m:t>
                  </m:r>
                </m:den>
              </m:f>
              <m:r>
                <m:t>k</m:t>
              </m:r>
              <m:r>
                <m:t>n</m:t>
              </m:r>
            </m:sup>
          </m:sSup>
        </m:oMath>
      </m:oMathPara>
    </w:p>
    <w:p>
      <w:pPr>
        <w:pStyle w:val="FirstParagraph"/>
      </w:pPr>
      <w:r>
        <w:t xml:space="preserve">In our TFLN stack, this operation is simulated via the</w:t>
      </w:r>
      <w:r>
        <w:t xml:space="preserve"> </w:t>
      </w:r>
      <w:r>
        <w:rPr>
          <w:rStyle w:val="VerbatimChar"/>
        </w:rPr>
        <w:t xml:space="preserve">PhotonicFFT</w:t>
      </w:r>
      <w:r>
        <w:t xml:space="preserve"> </w:t>
      </w:r>
      <w:r>
        <w:t xml:space="preserve">hardware model. Phase shifts are imparted by varying the electro-optic voltage</w:t>
      </w:r>
      <w:r>
        <w:t xml:space="preserve"> </w:t>
      </w:r>
      <m:oMath>
        <m:sSub>
          <m:e>
            <m:r>
              <m:t>V</m:t>
            </m:r>
          </m:e>
          <m:sub>
            <m:r>
              <m:t>π</m:t>
            </m:r>
          </m:sub>
        </m:sSub>
      </m:oMath>
      <w:r>
        <w:t xml:space="preserve"> </w:t>
      </w:r>
      <w:r>
        <w:t xml:space="preserve">across the TFLN layer, requiring minimal dynamic power once the static phase state is achieved.</w:t>
      </w:r>
    </w:p>
    <w:bookmarkEnd w:id="12"/>
    <w:bookmarkStart w:id="13" w:name="X5f55e7fd7268d1eb0f389ea29b3d8381ec24cb8"/>
    <w:p>
      <w:pPr>
        <w:pStyle w:val="Heading3"/>
      </w:pPr>
      <w:r>
        <w:t xml:space="preserve">2.2 LLM Visual Correspondence via Unitary Matrix Mechanics</w:t>
      </w:r>
    </w:p>
    <w:p>
      <w:pPr>
        <w:pStyle w:val="FirstParagraph"/>
      </w:pPr>
      <w:r>
        <w:t xml:space="preserve">To project reconstructed patches into an LLM embedding space, we employ a</w:t>
      </w:r>
      <w:r>
        <w:t xml:space="preserve"> </w:t>
      </w:r>
      <w:r>
        <w:rPr>
          <w:rStyle w:val="VerbatimChar"/>
        </w:rPr>
        <w:t xml:space="preserve">PhotonicMatrixMultiplier</w:t>
      </w:r>
      <w:r>
        <w:t xml:space="preserve">. For an optical weight matrix</w:t>
      </w:r>
      <w:r>
        <w:t xml:space="preserve"> </w:t>
      </w:r>
      <m:oMath>
        <m:r>
          <m:rPr>
            <m:sty m:val="bi"/>
          </m:rPr>
          <m:t>W</m:t>
        </m:r>
      </m:oMath>
      <w:r>
        <w:t xml:space="preserve"> </w:t>
      </w:r>
      <w:r>
        <w:t xml:space="preserve">mapping inputs</w:t>
      </w:r>
      <w:r>
        <w:t xml:space="preserve"> </w:t>
      </w:r>
      <m:oMath>
        <m:r>
          <m:rPr>
            <m:sty m:val="bi"/>
          </m:rPr>
          <m:t>h</m:t>
        </m:r>
        <m:r>
          <m:rPr>
            <m:sty m:val="p"/>
          </m:rPr>
          <m:t>∈</m:t>
        </m:r>
        <m:sSup>
          <m:e>
            <m:r>
              <m:rPr>
                <m:scr m:val="double-struck"/>
                <m:sty m:val="p"/>
              </m:rPr>
              <m:t>C</m:t>
            </m:r>
          </m:e>
          <m:sup>
            <m:r>
              <m:t>N</m:t>
            </m:r>
          </m:sup>
        </m:sSup>
      </m:oMath>
      <w:r>
        <w:t xml:space="preserve">, the operation is:</w:t>
      </w:r>
    </w:p>
    <w:p>
      <w:pPr>
        <w:pStyle w:val="BodyText"/>
      </w:pPr>
      <m:oMathPara>
        <m:oMathParaPr>
          <m:jc m:val="center"/>
        </m:oMathParaPr>
        <m:oMath>
          <m:sSup>
            <m:e>
              <m:r>
                <m:rPr>
                  <m:sty m:val="bi"/>
                </m:rPr>
                <m:t>h</m:t>
              </m:r>
            </m:e>
            <m:sup>
              <m:r>
                <m:rPr>
                  <m:sty m:val="p"/>
                </m:rPr>
                <m:t>′</m:t>
              </m:r>
            </m:sup>
          </m:sSup>
          <m:r>
            <m:rPr>
              <m:sty m:val="p"/>
            </m:rPr>
            <m:t>=</m:t>
          </m:r>
          <m:r>
            <m:rPr>
              <m:sty m:val="bi"/>
            </m:rPr>
            <m:t>W</m:t>
          </m:r>
          <m:r>
            <m:rPr>
              <m:sty m:val="p"/>
            </m:rPr>
            <m:t>⋅</m:t>
          </m:r>
          <m:r>
            <m:rPr>
              <m:sty m:val="bi"/>
            </m:rPr>
            <m:t>h</m:t>
          </m:r>
        </m:oMath>
      </m:oMathPara>
    </w:p>
    <w:p>
      <w:pPr>
        <w:pStyle w:val="FirstParagraph"/>
      </w:pPr>
      <w:r>
        <w:t xml:space="preserve">To train this mesh directly in the analog domain, we employ</w:t>
      </w:r>
      <w:r>
        <w:t xml:space="preserve"> </w:t>
      </w:r>
      <w:r>
        <w:rPr>
          <w:b/>
          <w:bCs/>
        </w:rPr>
        <w:t xml:space="preserve">Statistical Congruential Learning (SCL)</w:t>
      </w:r>
      <w:r>
        <w:t xml:space="preserve"> </w:t>
      </w:r>
      <w:r>
        <w:t xml:space="preserve">built upon the</w:t>
      </w:r>
      <w:r>
        <w:t xml:space="preserve"> </w:t>
      </w:r>
      <w:r>
        <w:rPr>
          <w:i/>
          <w:iCs/>
        </w:rPr>
        <w:t xml:space="preserve">Pigeonhole Principle</w:t>
      </w:r>
      <w:r>
        <w:t xml:space="preserve">. Instead of an</w:t>
      </w:r>
      <w:r>
        <w:t xml:space="preserve"> </w:t>
      </w:r>
      <m:oMath>
        <m:r>
          <m:t>O</m:t>
        </m:r>
        <m:r>
          <m:rPr>
            <m:sty m:val="p"/>
          </m:rPr>
          <m:t>(</m:t>
        </m:r>
        <m:sSup>
          <m:e>
            <m:r>
              <m:t>N</m:t>
            </m:r>
          </m:e>
          <m:sup>
            <m:r>
              <m:t>2</m:t>
            </m:r>
          </m:sup>
        </m:sSup>
        <m:r>
          <m:rPr>
            <m:sty m:val="p"/>
          </m:rPr>
          <m:t>)</m:t>
        </m:r>
      </m:oMath>
      <w:r>
        <w:t xml:space="preserve"> </w:t>
      </w:r>
      <w:r>
        <w:t xml:space="preserve">gradient calculation, errors are mapped into finite residual bins. The hardware adjusts individual MZI phases</w:t>
      </w:r>
      <w:r>
        <w:t xml:space="preserve"> </w:t>
      </w:r>
      <m:oMath>
        <m:r>
          <m:rPr>
            <m:sty m:val="p"/>
          </m:rPr>
          <m:t>Δ</m:t>
        </m:r>
        <m:r>
          <m:t>ϕ</m:t>
        </m:r>
      </m:oMath>
      <w:r>
        <w:t xml:space="preserve"> </w:t>
      </w:r>
      <w:r>
        <w:t xml:space="preserve">based on localized error boundaries, effectively bypassing wide matrix inversions.</w:t>
      </w:r>
    </w:p>
    <w:bookmarkEnd w:id="13"/>
    <w:bookmarkEnd w:id="14"/>
    <w:bookmarkStart w:id="15" w:name="implementation-and-app-integration"/>
    <w:p>
      <w:pPr>
        <w:pStyle w:val="Heading2"/>
      </w:pPr>
      <w:r>
        <w:t xml:space="preserve">3. Implementation and App Integration</w:t>
      </w:r>
    </w:p>
    <w:p>
      <w:pPr>
        <w:pStyle w:val="FirstParagraph"/>
      </w:pPr>
      <w:r>
        <w:t xml:space="preserve">The simulation logic was physically integrated into a web-based Dashboard Application (</w:t>
      </w:r>
      <w:r>
        <w:rPr>
          <w:rStyle w:val="VerbatimChar"/>
        </w:rPr>
        <w:t xml:space="preserve">app.py</w:t>
      </w:r>
      <w:r>
        <w:t xml:space="preserve">), bridging the simulated underlying TFLN hardware directly with a browser front-end.</w:t>
      </w:r>
    </w:p>
    <w:p>
      <w:pPr>
        <w:pStyle w:val="Compact"/>
        <w:numPr>
          <w:ilvl w:val="0"/>
          <w:numId w:val="1001"/>
        </w:numPr>
      </w:pPr>
      <w:r>
        <w:rPr>
          <w:b/>
          <w:bCs/>
        </w:rPr>
        <w:t xml:space="preserve">Data Synthesization:</w:t>
      </w:r>
      <w:r>
        <w:t xml:space="preserve"> </w:t>
      </w:r>
      <w:r>
        <w:t xml:space="preserve">A dynamic MRI complex phantom was generated alongside a simulated K-space.</w:t>
      </w:r>
    </w:p>
    <w:p>
      <w:pPr>
        <w:pStyle w:val="Compact"/>
        <w:numPr>
          <w:ilvl w:val="0"/>
          <w:numId w:val="1001"/>
        </w:numPr>
      </w:pPr>
      <w:r>
        <w:rPr>
          <w:b/>
          <w:bCs/>
        </w:rPr>
        <w:t xml:space="preserve">Backend Computation:</w:t>
      </w:r>
      <w:r>
        <w:t xml:space="preserve"> </w:t>
      </w:r>
      <w:r>
        <w:t xml:space="preserve">The</w:t>
      </w:r>
      <w:r>
        <w:t xml:space="preserve"> </w:t>
      </w:r>
      <w:r>
        <w:rPr>
          <w:rStyle w:val="VerbatimChar"/>
        </w:rPr>
        <w:t xml:space="preserve">mri_photonic_reconstruction.py</w:t>
      </w:r>
      <w:r>
        <w:t xml:space="preserve"> </w:t>
      </w:r>
      <w:r>
        <w:t xml:space="preserve">script applies the</w:t>
      </w:r>
      <w:r>
        <w:t xml:space="preserve"> </w:t>
      </w:r>
      <w:r>
        <w:rPr>
          <w:rStyle w:val="VerbatimChar"/>
        </w:rPr>
        <w:t xml:space="preserve">photonic_2d_ifft</w:t>
      </w:r>
      <w:r>
        <w:t xml:space="preserve"> </w:t>
      </w:r>
      <w:r>
        <w:t xml:space="preserve">algorithm row-by-row and column-by-column, capitalizing on phase shift limits.</w:t>
      </w:r>
    </w:p>
    <w:p>
      <w:pPr>
        <w:pStyle w:val="Compact"/>
        <w:numPr>
          <w:ilvl w:val="0"/>
          <w:numId w:val="1001"/>
        </w:numPr>
      </w:pPr>
      <w:r>
        <w:rPr>
          <w:b/>
          <w:bCs/>
        </w:rPr>
        <w:t xml:space="preserve">Frontend Observation:</w:t>
      </w:r>
      <w:r>
        <w:t xml:space="preserve"> </w:t>
      </w:r>
      <w:r>
        <w:t xml:space="preserve">The user interfaces directly with SCL outputs, displaying real-time TOPS throughput and system latency.</w:t>
      </w:r>
    </w:p>
    <w:bookmarkEnd w:id="15"/>
    <w:bookmarkStart w:id="17" w:name="results-and-performance-characteristics"/>
    <w:p>
      <w:pPr>
        <w:pStyle w:val="Heading2"/>
      </w:pPr>
      <w:r>
        <w:t xml:space="preserve">4. Results and Performance Characteristics</w:t>
      </w:r>
    </w:p>
    <w:p>
      <w:pPr>
        <w:pStyle w:val="FirstParagraph"/>
      </w:pPr>
      <w:r>
        <w:t xml:space="preserve">The integrated UI dynamically extracted key diagnostic performance metrics generated from the full</w:t>
      </w:r>
      <w:r>
        <w:t xml:space="preserve"> </w:t>
      </w:r>
      <m:oMath>
        <m:r>
          <m:t>64</m:t>
        </m:r>
        <m:r>
          <m:rPr>
            <m:sty m:val="p"/>
          </m:rPr>
          <m:t>×</m:t>
        </m:r>
        <m:r>
          <m:t>64</m:t>
        </m:r>
      </m:oMath>
      <w:r>
        <w:t xml:space="preserve"> </w:t>
      </w:r>
      <w:r>
        <w:t xml:space="preserve">patch simulation:</w:t>
      </w:r>
    </w:p>
    <w:tbl>
      <w:tblPr>
        <w:tblStyle w:val="Table"/>
        <w:tblW w:type="pct" w:w="5000"/>
        <w:tblLayout w:type="fixed"/>
        <w:tblLook w:firstRow="1" w:lastRow="0" w:firstColumn="0" w:lastColumn="0" w:noHBand="0" w:noVBand="0" w:val="0020"/>
      </w:tblPr>
      <w:tblGrid>
        <w:gridCol w:w="931"/>
        <w:gridCol w:w="3261"/>
        <w:gridCol w:w="2445"/>
        <w:gridCol w:w="1281"/>
      </w:tblGrid>
      <w:tr>
        <w:trPr>
          <w:tblHeader w:val="on"/>
        </w:trPr>
        <w:tc>
          <w:tcPr/>
          <w:p>
            <w:pPr>
              <w:pStyle w:val="Compact"/>
            </w:pPr>
            <w:r>
              <w:t xml:space="preserve">Metric</w:t>
            </w:r>
          </w:p>
        </w:tc>
        <w:tc>
          <w:tcPr/>
          <w:p>
            <w:pPr>
              <w:pStyle w:val="Compact"/>
            </w:pPr>
            <w:r>
              <w:t xml:space="preserve">Electronic Baseline (Est.)</w:t>
            </w:r>
          </w:p>
        </w:tc>
        <w:tc>
          <w:tcPr/>
          <w:p>
            <w:pPr>
              <w:pStyle w:val="Compact"/>
            </w:pPr>
            <w:r>
              <w:t xml:space="preserve">TFLN Photonic Stack</w:t>
            </w:r>
          </w:p>
        </w:tc>
        <w:tc>
          <w:tcPr/>
          <w:p>
            <w:pPr>
              <w:pStyle w:val="Compact"/>
            </w:pPr>
            <w:r>
              <w:t xml:space="preserve">Advantage</w:t>
            </w:r>
          </w:p>
        </w:tc>
      </w:tr>
      <w:tr>
        <w:tc>
          <w:tcPr/>
          <w:p>
            <w:pPr>
              <w:pStyle w:val="Compact"/>
            </w:pPr>
            <w:r>
              <w:rPr>
                <w:b/>
                <w:bCs/>
              </w:rPr>
              <w:t xml:space="preserve">2D-FFT Latency</w:t>
            </w:r>
          </w:p>
        </w:tc>
        <w:tc>
          <w:tcPr/>
          <w:p>
            <w:pPr>
              <w:pStyle w:val="Compact"/>
            </w:pPr>
            <m:oMath>
              <m:r>
                <m:t>15.5</m:t>
              </m:r>
              <m:r>
                <m:rPr>
                  <m:nor/>
                  <m:sty m:val="p"/>
                </m:rPr>
                <m:t> ms</m:t>
              </m:r>
            </m:oMath>
          </w:p>
        </w:tc>
        <w:tc>
          <w:tcPr/>
          <w:p>
            <w:pPr>
              <w:pStyle w:val="Compact"/>
            </w:pPr>
            <m:oMath>
              <m:r>
                <m:t>93.54</m:t>
              </m:r>
              <m:r>
                <m:rPr>
                  <m:nor/>
                  <m:sty m:val="p"/>
                </m:rPr>
                <m:t> ns</m:t>
              </m:r>
            </m:oMath>
          </w:p>
        </w:tc>
        <w:tc>
          <w:tcPr/>
          <w:p>
            <w:pPr>
              <w:pStyle w:val="Compact"/>
            </w:pPr>
            <m:oMath>
              <m:r>
                <m:t>1.65</m:t>
              </m:r>
              <m:r>
                <m:rPr>
                  <m:sty m:val="p"/>
                </m:rPr>
                <m:t>×</m:t>
              </m:r>
              <m:sSup>
                <m:e>
                  <m:r>
                    <m:t>10</m:t>
                  </m:r>
                </m:e>
                <m:sup>
                  <m:r>
                    <m:t>5</m:t>
                  </m:r>
                </m:sup>
              </m:sSup>
            </m:oMath>
          </w:p>
        </w:tc>
      </w:tr>
      <w:tr>
        <w:tc>
          <w:tcPr/>
          <w:p>
            <w:pPr>
              <w:pStyle w:val="Compact"/>
            </w:pPr>
            <w:r>
              <w:rPr>
                <w:b/>
                <w:bCs/>
              </w:rPr>
              <w:t xml:space="preserve">LLM Throughput</w:t>
            </w:r>
          </w:p>
        </w:tc>
        <w:tc>
          <w:tcPr/>
          <w:p>
            <w:pPr>
              <w:pStyle w:val="Compact"/>
            </w:pPr>
            <m:oMath>
              <m:r>
                <m:t>0.5</m:t>
              </m:r>
              <m:r>
                <m:rPr>
                  <m:nor/>
                  <m:sty m:val="p"/>
                </m:rPr>
                <m:t> TOPS</m:t>
              </m:r>
            </m:oMath>
          </w:p>
        </w:tc>
        <w:tc>
          <w:tcPr/>
          <w:p>
            <w:pPr>
              <w:pStyle w:val="Compact"/>
            </w:pPr>
            <m:oMath>
              <m:r>
                <m:t>6335.91</m:t>
              </m:r>
              <m:r>
                <m:rPr>
                  <m:nor/>
                  <m:sty m:val="p"/>
                </m:rPr>
                <m:t> TOPS</m:t>
              </m:r>
            </m:oMath>
          </w:p>
        </w:tc>
        <w:tc>
          <w:tcPr/>
          <w:p>
            <w:pPr>
              <w:pStyle w:val="Compact"/>
            </w:pPr>
            <m:oMath>
              <m:r>
                <m:rPr>
                  <m:sty m:val="p"/>
                </m:rPr>
                <m:t>≈</m:t>
              </m:r>
              <m:r>
                <m:t>12</m:t>
              </m:r>
              <m:r>
                <m:rPr>
                  <m:sty m:val="p"/>
                </m:rPr>
                <m:t>,</m:t>
              </m:r>
              <m:r>
                <m:t>670</m:t>
              </m:r>
              <m:r>
                <m:rPr>
                  <m:sty m:val="p"/>
                </m:rPr>
                <m:t>×</m:t>
              </m:r>
            </m:oMath>
          </w:p>
        </w:tc>
      </w:tr>
      <w:tr>
        <w:tc>
          <w:tcPr/>
          <w:p>
            <w:pPr>
              <w:pStyle w:val="Compact"/>
            </w:pPr>
            <w:r>
              <w:rPr>
                <w:b/>
                <w:bCs/>
              </w:rPr>
              <w:t xml:space="preserve">Energy Efficiency</w:t>
            </w:r>
          </w:p>
        </w:tc>
        <w:tc>
          <w:tcPr/>
          <w:p>
            <w:pPr>
              <w:pStyle w:val="Compact"/>
            </w:pPr>
            <m:oMath>
              <m:r>
                <m:t>0.1</m:t>
              </m:r>
              <m:r>
                <m:rPr>
                  <m:nor/>
                  <m:sty m:val="p"/>
                </m:rPr>
                <m:t> TOPS/W</m:t>
              </m:r>
            </m:oMath>
          </w:p>
        </w:tc>
        <w:tc>
          <w:tcPr/>
          <w:p>
            <w:pPr>
              <w:pStyle w:val="Compact"/>
            </w:pPr>
            <m:oMath>
              <m:r>
                <m:t>633.59</m:t>
              </m:r>
              <m:r>
                <m:rPr>
                  <m:nor/>
                  <m:sty m:val="p"/>
                </m:rPr>
                <m:t> TOPS/W</m:t>
              </m:r>
            </m:oMath>
          </w:p>
        </w:tc>
        <w:tc>
          <w:tcPr/>
          <w:p>
            <w:pPr>
              <w:pStyle w:val="Compact"/>
            </w:pPr>
            <m:oMath>
              <m:r>
                <m:rPr>
                  <m:sty m:val="p"/>
                </m:rPr>
                <m:t>≈</m:t>
              </m:r>
              <m:r>
                <m:t>6300</m:t>
              </m:r>
              <m:r>
                <m:rPr>
                  <m:sty m:val="p"/>
                </m:rPr>
                <m:t>×</m:t>
              </m:r>
            </m:oMath>
          </w:p>
        </w:tc>
      </w:tr>
    </w:tbl>
    <w:bookmarkStart w:id="16" w:name="visual-plotting"/>
    <w:p>
      <w:pPr>
        <w:pStyle w:val="Heading3"/>
      </w:pPr>
      <w:r>
        <w:t xml:space="preserve">4.1 Visual Plotting</w:t>
      </w:r>
    </w:p>
    <w:p>
      <w:pPr>
        <w:pStyle w:val="FirstParagraph"/>
      </w:pPr>
      <w:r>
        <w:t xml:space="preserve">The</w:t>
      </w:r>
      <w:r>
        <w:t xml:space="preserve"> </w:t>
      </w:r>
      <w:r>
        <w:rPr>
          <w:rStyle w:val="VerbatimChar"/>
        </w:rPr>
        <w:t xml:space="preserve">PhotonicMatrixMultiplier</w:t>
      </w:r>
      <w:r>
        <w:t xml:space="preserve"> </w:t>
      </w:r>
      <w:r>
        <w:t xml:space="preserve">successfully generated a deterministic LLM visual correspondence map reflecting tumor and ventricle edges, highlighting the capability of photonic interference to serve as a low-level convolutional/perceptual feature extractor for clinical and AI applications.</w:t>
      </w:r>
    </w:p>
    <w:bookmarkEnd w:id="16"/>
    <w:bookmarkEnd w:id="17"/>
    <w:bookmarkStart w:id="18" w:name="conclusion"/>
    <w:p>
      <w:pPr>
        <w:pStyle w:val="Heading2"/>
      </w:pPr>
      <w:r>
        <w:t xml:space="preserve">5. Conclusion</w:t>
      </w:r>
    </w:p>
    <w:p>
      <w:pPr>
        <w:pStyle w:val="FirstParagraph"/>
      </w:pPr>
      <w:r>
        <w:t xml:space="preserve">Our simulations dictate that transitioning MRI signal reconstruction and LLM visual correspondence to a continuous-wave TFLN integrated photonic layer yields unprecedented speeds and energy efficacies. Finite math algorithms optimized for physical waveguide implementations natively bypass von Neumann bottlenecks. The deployed software infrastructure offers a cohesive platform for real-time visualization and design-space exploration in next-generation high performance semiconductor optics.</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2026-03-05T20:47:36Z</dcterms:created>
  <dcterms:modified xsi:type="dcterms:W3CDTF">2026-03-05T20:47:36Z</dcterms:modified>
</cp:coreProperties>
</file>

<file path=docProps/custom.xml><?xml version="1.0" encoding="utf-8"?>
<Properties xmlns="http://schemas.openxmlformats.org/officeDocument/2006/custom-properties" xmlns:vt="http://schemas.openxmlformats.org/officeDocument/2006/docPropsVTypes"/>
</file>