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</w:rPr>
        <w:t>单分子力学谱的智能检测系统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用户使用说明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kern w:val="0"/>
          <w:sz w:val="32"/>
          <w:szCs w:val="32"/>
          <w:lang w:val="en-US" w:eastAsia="zh-CN" w:bidi="ar"/>
        </w:rPr>
        <w:t xml:space="preserve">一、配置环境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运行环境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Win10 + pycharm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运行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hello.py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python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版本信息：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python 3.7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使用库：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sklearn 0.22 + PYQT5 + matplotlib 3.1.2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threading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使用步骤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文件判断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1.1.点击选择文件进行文件选择，文件选择后，在图像的下方方框内显示文件路径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582035" cy="370967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1.2.文件打开后，在上方显示图像，可以通过下方两个游标进行调整图像显示范围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699510" cy="363664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19830" cy="3656330"/>
            <wp:effectExtent l="0" t="0" r="139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1.3.通过下拉菜单框选择判断方式，在下面选择判断的峰形，点击开始分类进行运作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92855" cy="37280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1.4.在“文件输出：”后输出判断结果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53485" cy="3689985"/>
            <wp:effectExtent l="0" t="0" r="1079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文件夹判断</w:t>
      </w:r>
    </w:p>
    <w:p>
      <w:pPr>
        <w:numPr>
          <w:ilvl w:val="1"/>
          <w:numId w:val="2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点击选择文件进行文件选择，文件选择后，在图像的下方方框内显示文件路径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267200" cy="4194175"/>
            <wp:effectExtent l="0" t="0" r="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.通过下拉菜单框选择判断方式，在下面选择判断的峰形，点击开始分类进行运作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792855" cy="3728085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运行过程中，提供进度条显示、暂停/继续、停止、实时信息功能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543935" cy="3483610"/>
            <wp:effectExtent l="0" t="0" r="698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分类结束后，显示分类信息，目标数据保存在原始数据子目录下以目标数据开头的文件夹内，非法数据存放在唉原始数据子目录下以非法数据文件夹内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714750" cy="3651250"/>
            <wp:effectExtent l="0" t="0" r="381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目前已加入文件目录记忆的功能，即再次选择文件/文件夹后会回到上一次选择的位置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点击开始分类时，究竟是判断文件内容还是文件夹内容由最近一次是选择文件夹/选择文件决定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在四峰判断下，目前情况来看，分类算法均有着较高的召回率，但在数据不平衡程度较大的情况下，过多的错误数据被判断成对，导致精确率表现不佳。综合来看，推荐使用SVM+决策树+随机森林联合判断。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八峰的算法由于目前数据量过少，存在着偶然性。推荐使用随机森林算法。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5FB0F"/>
    <w:multiLevelType w:val="multilevel"/>
    <w:tmpl w:val="9185F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A3FF6C65"/>
    <w:multiLevelType w:val="singleLevel"/>
    <w:tmpl w:val="A3FF6C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229571"/>
    <w:multiLevelType w:val="singleLevel"/>
    <w:tmpl w:val="B722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E6A26"/>
    <w:rsid w:val="2FD3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qyy</dc:creator>
  <cp:lastModifiedBy>慕容铁柱</cp:lastModifiedBy>
  <dcterms:modified xsi:type="dcterms:W3CDTF">2020-05-15T09:11:04Z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