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337C0" w14:textId="77777777" w:rsidR="002A2FE1" w:rsidRDefault="002A2FE1">
      <w:pPr>
        <w:rPr>
          <w:lang w:val="en-US"/>
        </w:rPr>
      </w:pPr>
      <w:r w:rsidRPr="002A2FE1">
        <w:rPr>
          <w:lang w:val="en-US"/>
        </w:rPr>
        <w:t xml:space="preserve">candidates should be able to: </w:t>
      </w:r>
    </w:p>
    <w:p w14:paraId="2165CD97" w14:textId="6EC7885B" w:rsidR="00474DE7" w:rsidRPr="004D14C7" w:rsidRDefault="002A2FE1" w:rsidP="004D14C7">
      <w:pPr>
        <w:rPr>
          <w:lang w:val="en-US"/>
        </w:rPr>
      </w:pPr>
      <w:r w:rsidRPr="002A2FE1">
        <w:rPr>
          <w:lang w:val="en-US"/>
        </w:rPr>
        <w:t xml:space="preserve">Demonstrate knowledge of leveraged buyouts (LBOs). Including: </w:t>
      </w:r>
      <w:r w:rsidRPr="004D14C7">
        <w:rPr>
          <w:lang w:val="en-US"/>
        </w:rPr>
        <w:t>Discuss the history of leveraged buyouts</w:t>
      </w:r>
      <w:r w:rsidR="004D14C7" w:rsidRPr="004D14C7">
        <w:rPr>
          <w:lang w:val="en-US"/>
        </w:rPr>
        <w:t>.</w:t>
      </w:r>
      <w:r w:rsidRPr="004D14C7">
        <w:rPr>
          <w:lang w:val="en-US"/>
        </w:rPr>
        <w:t xml:space="preserve"> Discuss three key economic and agency issues of buyouts</w:t>
      </w:r>
      <w:r w:rsidR="004D14C7" w:rsidRPr="004D14C7">
        <w:rPr>
          <w:lang w:val="en-US"/>
        </w:rPr>
        <w:t>.</w:t>
      </w:r>
      <w:r w:rsidRPr="004D14C7">
        <w:rPr>
          <w:lang w:val="en-US"/>
        </w:rPr>
        <w:t>Identify five general categories of LBOs that can create value</w:t>
      </w:r>
      <w:r w:rsidR="004D14C7" w:rsidRPr="004D14C7">
        <w:rPr>
          <w:lang w:val="en-US"/>
        </w:rPr>
        <w:t>.</w:t>
      </w:r>
      <w:r w:rsidRPr="004D14C7">
        <w:rPr>
          <w:lang w:val="en-US"/>
        </w:rPr>
        <w:t xml:space="preserve"> Discuss the benefits and appeal of a leveraged buyout to targets</w:t>
      </w:r>
      <w:r w:rsidR="004D14C7" w:rsidRPr="004D14C7">
        <w:rPr>
          <w:lang w:val="en-US"/>
        </w:rPr>
        <w:t>.</w:t>
      </w:r>
      <w:r w:rsidRPr="004D14C7">
        <w:rPr>
          <w:lang w:val="en-US"/>
        </w:rPr>
        <w:t xml:space="preserve"> Calculate projected valuations of an LBO</w:t>
      </w:r>
      <w:r w:rsidR="004D14C7" w:rsidRPr="004D14C7">
        <w:rPr>
          <w:lang w:val="en-US"/>
        </w:rPr>
        <w:t>.</w:t>
      </w:r>
      <w:r w:rsidRPr="004D14C7">
        <w:rPr>
          <w:lang w:val="en-US"/>
        </w:rPr>
        <w:t xml:space="preserve"> Identify LBO exit strategies</w:t>
      </w:r>
      <w:r w:rsidR="004D14C7" w:rsidRPr="004D14C7">
        <w:rPr>
          <w:lang w:val="en-US"/>
        </w:rPr>
        <w:t>.</w:t>
      </w:r>
      <w:r w:rsidRPr="004D14C7">
        <w:rPr>
          <w:lang w:val="en-US"/>
        </w:rPr>
        <w:t xml:space="preserve"> Identify benefits of strong corporate governance principles to the public market</w:t>
      </w:r>
      <w:r w:rsidR="004D14C7" w:rsidRPr="004D14C7">
        <w:rPr>
          <w:lang w:val="en-US"/>
        </w:rPr>
        <w:t>.</w:t>
      </w:r>
    </w:p>
    <w:p w14:paraId="79F1A0EE" w14:textId="0E2446C7" w:rsidR="004D14C7" w:rsidRPr="004D14C7" w:rsidRDefault="004D14C7" w:rsidP="004D14C7">
      <w:pPr>
        <w:rPr>
          <w:lang w:val="en-GB"/>
        </w:rPr>
      </w:pPr>
    </w:p>
    <w:sectPr w:rsidR="004D14C7" w:rsidRPr="004D14C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7AD2"/>
    <w:multiLevelType w:val="hybridMultilevel"/>
    <w:tmpl w:val="91387A32"/>
    <w:lvl w:ilvl="0" w:tplc="B9DE2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3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A2FE1"/>
    <w:rsid w:val="002E25B1"/>
    <w:rsid w:val="00474DE7"/>
    <w:rsid w:val="004D14C7"/>
    <w:rsid w:val="00687554"/>
    <w:rsid w:val="00F1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FE1"/>
    <w:pPr>
      <w:ind w:left="720"/>
      <w:contextualSpacing/>
    </w:pPr>
  </w:style>
  <w:style w:type="paragraph" w:customStyle="1" w:styleId="Default">
    <w:name w:val="Default"/>
    <w:rsid w:val="004D14C7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2024-03-11T15:45:00Z</dcterms:modified>
</cp:coreProperties>
</file>