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C0F2" w14:textId="77777777" w:rsidR="00A816E0" w:rsidRDefault="00A816E0">
      <w:pPr>
        <w:rPr>
          <w:lang w:val="en-US"/>
        </w:rPr>
      </w:pPr>
      <w:r w:rsidRPr="00A816E0">
        <w:rPr>
          <w:lang w:val="en-US"/>
        </w:rPr>
        <w:t xml:space="preserve">candidates should be able to: </w:t>
      </w:r>
    </w:p>
    <w:p w14:paraId="2165CD97" w14:textId="20D60F33" w:rsidR="00474DE7" w:rsidRPr="00F71704" w:rsidRDefault="00A816E0" w:rsidP="00F71704">
      <w:pPr>
        <w:rPr>
          <w:lang w:val="en-US"/>
        </w:rPr>
      </w:pPr>
      <w:r w:rsidRPr="00A816E0">
        <w:rPr>
          <w:lang w:val="en-US"/>
        </w:rPr>
        <w:t>Demonstrate knowledge of observations regarding historical returns of co-investment. Including:</w:t>
      </w:r>
      <w:r w:rsidR="00F71704">
        <w:rPr>
          <w:lang w:val="en-US"/>
        </w:rPr>
        <w:t xml:space="preserve"> </w:t>
      </w:r>
      <w:r w:rsidRPr="00F71704">
        <w:rPr>
          <w:lang w:val="en-US"/>
        </w:rPr>
        <w:t>Interpret evidence on the performance track record of co-investment. Identify the specific capabilities that investors must develop to be successful in co-investments. Describe the impact that co-investing has on the private equity “J-curve.”</w:t>
      </w:r>
    </w:p>
    <w:sectPr w:rsidR="00474DE7" w:rsidRPr="00F7170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3B46"/>
    <w:multiLevelType w:val="hybridMultilevel"/>
    <w:tmpl w:val="B8925C50"/>
    <w:lvl w:ilvl="0" w:tplc="E4C03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132A2"/>
    <w:rsid w:val="00A816E0"/>
    <w:rsid w:val="00F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E0"/>
    <w:pPr>
      <w:ind w:left="720"/>
      <w:contextualSpacing/>
    </w:pPr>
  </w:style>
  <w:style w:type="paragraph" w:customStyle="1" w:styleId="Default">
    <w:name w:val="Default"/>
    <w:rsid w:val="00F71704"/>
    <w:pPr>
      <w:autoSpaceDE w:val="0"/>
      <w:autoSpaceDN w:val="0"/>
      <w:adjustRightInd w:val="0"/>
      <w:spacing w:after="0" w:line="240" w:lineRule="auto"/>
    </w:pPr>
    <w:rPr>
      <w:rFonts w:ascii="Source Sans Pro Semibold" w:hAnsi="Source Sans Pro Semibold" w:cs="Source Sans Pro Semibold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2024-03-11T16:45:00Z</dcterms:modified>
</cp:coreProperties>
</file>