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5F72" w14:textId="1DDE3002" w:rsidR="00832576" w:rsidRDefault="00832576" w:rsidP="00832576">
      <w:pPr>
        <w:pStyle w:val="Default"/>
      </w:pPr>
      <w:r w:rsidRPr="00832576">
        <w:t>Demonstrate knowledge of cash-funded CDOs and synthetic CDOs.Including: Compare and contrast cash-funded CDOs and synthetic CDOs. Explain how a cash-funded CDO can be used to reduce required regulatory capital. Calculate the amount of freed-up regulatory capital by using a CDO trust to securitize and sell a portfolio of commercial loans. Describe the characteristics of synthetic CDOs</w:t>
      </w:r>
      <w:r>
        <w:t>.)</w:t>
      </w:r>
    </w:p>
    <w:p w14:paraId="33F10786" w14:textId="77777777" w:rsidR="00832576" w:rsidRPr="00832576" w:rsidRDefault="00832576" w:rsidP="00832576">
      <w:pPr>
        <w:rPr>
          <w:lang w:val="en-GB"/>
        </w:rPr>
      </w:pPr>
    </w:p>
    <w:sectPr w:rsidR="00832576" w:rsidRPr="00832576" w:rsidSect="008F078E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933DB"/>
    <w:rsid w:val="00832576"/>
    <w:rsid w:val="008F078E"/>
    <w:rsid w:val="00C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576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2024-02-29T04:40:00Z</dcterms:modified>
</cp:coreProperties>
</file>