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BA78" w14:textId="77777777" w:rsidR="002B7F5E" w:rsidRDefault="002B7F5E" w:rsidP="002B7F5E">
      <w:pPr>
        <w:spacing w:before="65"/>
        <w:ind w:left="2880"/>
        <w:rPr>
          <w:rFonts w:ascii="Myriad Pro Light"/>
          <w:b/>
          <w:i/>
          <w:sz w:val="20"/>
        </w:rPr>
      </w:pPr>
      <w:r>
        <w:rPr>
          <w:rFonts w:ascii="Myriad Pro Light"/>
          <w:b/>
          <w:i/>
          <w:sz w:val="20"/>
        </w:rPr>
        <w:t>The</w:t>
      </w:r>
      <w:r>
        <w:rPr>
          <w:rFonts w:ascii="Myriad Pro Light"/>
          <w:b/>
          <w:i/>
          <w:spacing w:val="4"/>
          <w:sz w:val="20"/>
        </w:rPr>
        <w:t xml:space="preserve"> </w:t>
      </w:r>
      <w:r>
        <w:rPr>
          <w:rFonts w:ascii="Myriad Pro Light"/>
          <w:b/>
          <w:i/>
          <w:sz w:val="20"/>
        </w:rPr>
        <w:t>candidate</w:t>
      </w:r>
      <w:r>
        <w:rPr>
          <w:rFonts w:ascii="Myriad Pro Light"/>
          <w:b/>
          <w:i/>
          <w:spacing w:val="5"/>
          <w:sz w:val="20"/>
        </w:rPr>
        <w:t xml:space="preserve"> </w:t>
      </w:r>
      <w:r>
        <w:rPr>
          <w:rFonts w:ascii="Myriad Pro Light"/>
          <w:b/>
          <w:i/>
          <w:sz w:val="20"/>
        </w:rPr>
        <w:t>should</w:t>
      </w:r>
      <w:r>
        <w:rPr>
          <w:rFonts w:ascii="Myriad Pro Light"/>
          <w:b/>
          <w:i/>
          <w:spacing w:val="5"/>
          <w:sz w:val="20"/>
        </w:rPr>
        <w:t xml:space="preserve"> </w:t>
      </w:r>
      <w:r>
        <w:rPr>
          <w:rFonts w:ascii="Myriad Pro Light"/>
          <w:b/>
          <w:i/>
          <w:sz w:val="20"/>
        </w:rPr>
        <w:t>be</w:t>
      </w:r>
      <w:r>
        <w:rPr>
          <w:rFonts w:ascii="Myriad Pro Light"/>
          <w:b/>
          <w:i/>
          <w:spacing w:val="5"/>
          <w:sz w:val="20"/>
        </w:rPr>
        <w:t xml:space="preserve"> </w:t>
      </w:r>
      <w:r>
        <w:rPr>
          <w:rFonts w:ascii="Myriad Pro Light"/>
          <w:b/>
          <w:i/>
          <w:sz w:val="20"/>
        </w:rPr>
        <w:t>able</w:t>
      </w:r>
      <w:r>
        <w:rPr>
          <w:rFonts w:ascii="Myriad Pro Light"/>
          <w:b/>
          <w:i/>
          <w:spacing w:val="5"/>
          <w:sz w:val="20"/>
        </w:rPr>
        <w:t xml:space="preserve"> </w:t>
      </w:r>
      <w:r>
        <w:rPr>
          <w:rFonts w:ascii="Myriad Pro Light"/>
          <w:b/>
          <w:i/>
          <w:spacing w:val="-5"/>
          <w:sz w:val="20"/>
        </w:rPr>
        <w:t>to:</w:t>
      </w:r>
    </w:p>
    <w:p w14:paraId="63485C31" w14:textId="77777777" w:rsidR="002B7F5E" w:rsidRDefault="002B7F5E" w:rsidP="002B7F5E">
      <w:pPr>
        <w:pStyle w:val="ListParagraph"/>
        <w:numPr>
          <w:ilvl w:val="0"/>
          <w:numId w:val="1"/>
        </w:numPr>
        <w:tabs>
          <w:tab w:val="left" w:pos="3119"/>
        </w:tabs>
        <w:spacing w:before="70" w:line="273" w:lineRule="exact"/>
        <w:ind w:left="3119" w:hanging="239"/>
        <w:rPr>
          <w:sz w:val="20"/>
        </w:rPr>
      </w:pPr>
      <w:r>
        <w:rPr>
          <w:sz w:val="20"/>
        </w:rPr>
        <w:t>explain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financial</w:t>
      </w:r>
      <w:r>
        <w:rPr>
          <w:spacing w:val="10"/>
          <w:sz w:val="20"/>
        </w:rPr>
        <w:t xml:space="preserve"> </w:t>
      </w:r>
      <w:r>
        <w:rPr>
          <w:sz w:val="20"/>
        </w:rPr>
        <w:t>reporting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disclosures</w:t>
      </w:r>
      <w:r>
        <w:rPr>
          <w:spacing w:val="10"/>
          <w:sz w:val="20"/>
        </w:rPr>
        <w:t xml:space="preserve"> </w:t>
      </w:r>
      <w:r>
        <w:rPr>
          <w:sz w:val="20"/>
        </w:rPr>
        <w:t>related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intangible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assets</w:t>
      </w:r>
    </w:p>
    <w:p w14:paraId="6A05B265" w14:textId="77777777" w:rsidR="002B7F5E" w:rsidRDefault="002B7F5E" w:rsidP="002B7F5E">
      <w:pPr>
        <w:pStyle w:val="ListParagraph"/>
        <w:numPr>
          <w:ilvl w:val="0"/>
          <w:numId w:val="1"/>
        </w:numPr>
        <w:tabs>
          <w:tab w:val="left" w:pos="3119"/>
        </w:tabs>
        <w:spacing w:line="250" w:lineRule="exact"/>
        <w:ind w:left="3119" w:hanging="239"/>
        <w:rPr>
          <w:sz w:val="20"/>
        </w:rPr>
      </w:pPr>
      <w:r>
        <w:rPr>
          <w:sz w:val="20"/>
        </w:rPr>
        <w:t>explain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financial</w:t>
      </w:r>
      <w:r>
        <w:rPr>
          <w:spacing w:val="9"/>
          <w:sz w:val="20"/>
        </w:rPr>
        <w:t xml:space="preserve"> </w:t>
      </w:r>
      <w:r>
        <w:rPr>
          <w:sz w:val="20"/>
        </w:rPr>
        <w:t>reporting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disclosures</w:t>
      </w:r>
      <w:r>
        <w:rPr>
          <w:spacing w:val="9"/>
          <w:sz w:val="20"/>
        </w:rPr>
        <w:t xml:space="preserve"> </w:t>
      </w:r>
      <w:r>
        <w:rPr>
          <w:sz w:val="20"/>
        </w:rPr>
        <w:t>related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goodwill</w:t>
      </w:r>
    </w:p>
    <w:p w14:paraId="7799AA6C" w14:textId="77777777" w:rsidR="002B7F5E" w:rsidRDefault="002B7F5E" w:rsidP="002B7F5E">
      <w:pPr>
        <w:pStyle w:val="ListParagraph"/>
        <w:numPr>
          <w:ilvl w:val="0"/>
          <w:numId w:val="1"/>
        </w:numPr>
        <w:tabs>
          <w:tab w:val="left" w:pos="3119"/>
        </w:tabs>
        <w:spacing w:line="250" w:lineRule="exact"/>
        <w:ind w:left="3119" w:hanging="239"/>
        <w:rPr>
          <w:sz w:val="20"/>
        </w:rPr>
      </w:pPr>
      <w:r>
        <w:rPr>
          <w:sz w:val="20"/>
        </w:rPr>
        <w:t>explain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financial</w:t>
      </w:r>
      <w:r>
        <w:rPr>
          <w:spacing w:val="9"/>
          <w:sz w:val="20"/>
        </w:rPr>
        <w:t xml:space="preserve"> </w:t>
      </w:r>
      <w:r>
        <w:rPr>
          <w:sz w:val="20"/>
        </w:rPr>
        <w:t>reporting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disclosures</w:t>
      </w:r>
      <w:r>
        <w:rPr>
          <w:spacing w:val="10"/>
          <w:sz w:val="20"/>
        </w:rPr>
        <w:t xml:space="preserve"> </w:t>
      </w:r>
      <w:r>
        <w:rPr>
          <w:sz w:val="20"/>
        </w:rPr>
        <w:t>related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financial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instruments</w:t>
      </w:r>
    </w:p>
    <w:p w14:paraId="5D2BFA5A" w14:textId="77777777" w:rsidR="002B7F5E" w:rsidRDefault="002B7F5E" w:rsidP="002B7F5E">
      <w:pPr>
        <w:pStyle w:val="ListParagraph"/>
        <w:numPr>
          <w:ilvl w:val="0"/>
          <w:numId w:val="1"/>
        </w:numPr>
        <w:tabs>
          <w:tab w:val="left" w:pos="3119"/>
        </w:tabs>
        <w:spacing w:line="250" w:lineRule="exact"/>
        <w:ind w:left="3119" w:hanging="239"/>
        <w:rPr>
          <w:sz w:val="20"/>
        </w:rPr>
      </w:pPr>
      <w:r>
        <w:rPr>
          <w:sz w:val="20"/>
        </w:rPr>
        <w:t>explain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financial</w:t>
      </w:r>
      <w:r>
        <w:rPr>
          <w:spacing w:val="10"/>
          <w:sz w:val="20"/>
        </w:rPr>
        <w:t xml:space="preserve"> </w:t>
      </w:r>
      <w:r>
        <w:rPr>
          <w:sz w:val="20"/>
        </w:rPr>
        <w:t>reporting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disclosures</w:t>
      </w:r>
      <w:r>
        <w:rPr>
          <w:spacing w:val="10"/>
          <w:sz w:val="20"/>
        </w:rPr>
        <w:t xml:space="preserve"> </w:t>
      </w:r>
      <w:r>
        <w:rPr>
          <w:sz w:val="20"/>
        </w:rPr>
        <w:t>related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non-current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liabilities</w:t>
      </w:r>
    </w:p>
    <w:p w14:paraId="2165CD97" w14:textId="77777777" w:rsidR="00474DE7" w:rsidRDefault="00474DE7"/>
    <w:sectPr w:rsidR="00474DE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arnock Pro">
    <w:altName w:val="Cambria"/>
    <w:charset w:val="00"/>
    <w:family w:val="roman"/>
    <w:pitch w:val="variable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EC0"/>
    <w:multiLevelType w:val="hybridMultilevel"/>
    <w:tmpl w:val="DADCC7B2"/>
    <w:lvl w:ilvl="0" w:tplc="796A7380">
      <w:numFmt w:val="bullet"/>
      <w:lvlText w:val="□"/>
      <w:lvlJc w:val="left"/>
      <w:pPr>
        <w:ind w:left="31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F0F0CC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2" w:tplc="58985558">
      <w:numFmt w:val="bullet"/>
      <w:lvlText w:val="•"/>
      <w:lvlJc w:val="left"/>
      <w:pPr>
        <w:ind w:left="4668" w:hanging="240"/>
      </w:pPr>
      <w:rPr>
        <w:rFonts w:hint="default"/>
        <w:lang w:val="en-US" w:eastAsia="en-US" w:bidi="ar-SA"/>
      </w:rPr>
    </w:lvl>
    <w:lvl w:ilvl="3" w:tplc="882EF140">
      <w:numFmt w:val="bullet"/>
      <w:lvlText w:val="•"/>
      <w:lvlJc w:val="left"/>
      <w:pPr>
        <w:ind w:left="5442" w:hanging="240"/>
      </w:pPr>
      <w:rPr>
        <w:rFonts w:hint="default"/>
        <w:lang w:val="en-US" w:eastAsia="en-US" w:bidi="ar-SA"/>
      </w:rPr>
    </w:lvl>
    <w:lvl w:ilvl="4" w:tplc="E5160558">
      <w:numFmt w:val="bullet"/>
      <w:lvlText w:val="•"/>
      <w:lvlJc w:val="left"/>
      <w:pPr>
        <w:ind w:left="6216" w:hanging="240"/>
      </w:pPr>
      <w:rPr>
        <w:rFonts w:hint="default"/>
        <w:lang w:val="en-US" w:eastAsia="en-US" w:bidi="ar-SA"/>
      </w:rPr>
    </w:lvl>
    <w:lvl w:ilvl="5" w:tplc="56BCD01E">
      <w:numFmt w:val="bullet"/>
      <w:lvlText w:val="•"/>
      <w:lvlJc w:val="left"/>
      <w:pPr>
        <w:ind w:left="6990" w:hanging="240"/>
      </w:pPr>
      <w:rPr>
        <w:rFonts w:hint="default"/>
        <w:lang w:val="en-US" w:eastAsia="en-US" w:bidi="ar-SA"/>
      </w:rPr>
    </w:lvl>
    <w:lvl w:ilvl="6" w:tplc="BE3A7136">
      <w:numFmt w:val="bullet"/>
      <w:lvlText w:val="•"/>
      <w:lvlJc w:val="left"/>
      <w:pPr>
        <w:ind w:left="7764" w:hanging="240"/>
      </w:pPr>
      <w:rPr>
        <w:rFonts w:hint="default"/>
        <w:lang w:val="en-US" w:eastAsia="en-US" w:bidi="ar-SA"/>
      </w:rPr>
    </w:lvl>
    <w:lvl w:ilvl="7" w:tplc="BA783004">
      <w:numFmt w:val="bullet"/>
      <w:lvlText w:val="•"/>
      <w:lvlJc w:val="left"/>
      <w:pPr>
        <w:ind w:left="8538" w:hanging="240"/>
      </w:pPr>
      <w:rPr>
        <w:rFonts w:hint="default"/>
        <w:lang w:val="en-US" w:eastAsia="en-US" w:bidi="ar-SA"/>
      </w:rPr>
    </w:lvl>
    <w:lvl w:ilvl="8" w:tplc="8C76F742">
      <w:numFmt w:val="bullet"/>
      <w:lvlText w:val="•"/>
      <w:lvlJc w:val="left"/>
      <w:pPr>
        <w:ind w:left="9312" w:hanging="240"/>
      </w:pPr>
      <w:rPr>
        <w:rFonts w:hint="default"/>
        <w:lang w:val="en-US" w:eastAsia="en-US" w:bidi="ar-SA"/>
      </w:rPr>
    </w:lvl>
  </w:abstractNum>
  <w:num w:numId="1" w16cid:durableId="47757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B7F5E"/>
    <w:rsid w:val="002E25B1"/>
    <w:rsid w:val="00474DE7"/>
    <w:rsid w:val="007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5E"/>
    <w:pPr>
      <w:widowControl w:val="0"/>
      <w:autoSpaceDE w:val="0"/>
      <w:autoSpaceDN w:val="0"/>
      <w:spacing w:after="0" w:line="240" w:lineRule="auto"/>
    </w:pPr>
    <w:rPr>
      <w:rFonts w:ascii="Warnock Pro" w:eastAsia="Warnock Pro" w:hAnsi="Warnock Pro" w:cs="Warnock Pr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7F5E"/>
    <w:pPr>
      <w:ind w:left="11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Kateryna Myrko</cp:lastModifiedBy>
  <cp:revision>3</cp:revision>
  <dcterms:created xsi:type="dcterms:W3CDTF">2023-10-03T09:26:00Z</dcterms:created>
  <dcterms:modified xsi:type="dcterms:W3CDTF">2024-02-04T10:35:00Z</dcterms:modified>
</cp:coreProperties>
</file>