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36"/>
        </w:rPr>
        <w:t>Banking Risks Analysis</w:t>
      </w:r>
    </w:p>
    <w:p>
      <w:r>
        <w:rPr>
          <w:sz w:val="28"/>
        </w:rPr>
        <w:t>Article Summary</w:t>
      </w:r>
    </w:p>
    <w:p>
      <w:r>
        <w:t>Digital revolution in retail banking has happened, and the interest is now in how consumers engage with this technology.</w:t>
        <w:br/>
        <w:t>AI will revolutionize the way corporates access capital markets, reducing layers of processes and bureaucracy. Banks that can successfully implement AI technology will benefit from large competitive advantages.</w:t>
        <w:br/>
        <w:t>Senior executives must be able to explain how AI is being used in their businesses, a major challenge in a fast-moving area.</w:t>
        <w:br/>
        <w:t>Investors are the banks' ultimate stakeholders, and failing to accommodate their appetites for sound ESG credentials poses a major new burden on banks.</w:t>
        <w:br/>
        <w:t>The banking industry will need to adapt radically to the "E", balancing numerous commercial and regulatory concerns, and vetting products' environmental credentials.</w:t>
        <w:br/>
        <w:t>Competition regulations and enforcement are changing, and banks must adapt to keep up with these changes.</w:t>
        <w:br/>
        <w:t>Shadow banking and private credit have grown enormously in recent years.</w:t>
      </w:r>
    </w:p>
    <w:p>
      <w:r>
        <w:rPr>
          <w:sz w:val="28"/>
        </w:rPr>
        <w:t>Key Insight</w:t>
      </w:r>
    </w:p>
    <w:p>
      <w:r>
        <w:t xml:space="preserve"> **Key Risks for the United States Federal Reserve Bank**</w:t>
        <w:br/>
        <w:br/>
        <w:t>The digital revolution in retail banking, while offering significant opportunities, also presents potential risks for the United States Federal Reserve Bank. The rapid integration of AI technology in banking processes, while promising, could lead to unforeseen challenges. For instance, the reliance on AI for capital market access might reduce bureaucratic layers, but it also poses a risk of over-reliance on technology, potentially undermining traditional banking practices and expertise. This shift could lead to a loss of human oversight, which is crucial for risk management and ethical considerations. Moreover, the challenge of senior executives to effectively communicate the use of AI in banking is not just an internal issue but also a regulatory one. The Federal Reserve Bank must ensure that these explanations are not only transparent but also compliant with regulatory standards, especially concerning consumer protection and financial stability.</w:t>
        <w:br/>
        <w:br/>
        <w:t>Additionally, the growing emphasis on Environmental, Social, and Governance (ESG) credentials presents a new set of challenges. As investors increasingly prioritize ESG factors, banks, including those under the Federal Reserve's purview, must adapt to these changing investor appetites. This shift could lead to a reevaluation of banking products and services, potentially impacting profitability and market positioning. Furthermore, the changing landscape of competition regulations and enforcement adds another layer of complexity. The Federal Reserve Bank needs to ensure that its policies and regulations are up-to-date and effective in this evolving market. The emergence of shadow banking and private credit, growing at an unprecedented rate, poses a significant risk to financial stability. The Federal Reserve Bank must closely monitor these developments to prevent systemic risks and ensure the resilience of the banking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