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080C" w14:textId="77777777" w:rsidR="00BD5B76" w:rsidRDefault="00BD5B76" w:rsidP="00BD5B76">
      <w:pPr>
        <w:spacing w:after="0" w:line="240" w:lineRule="auto"/>
        <w:textAlignment w:val="baseline"/>
        <w:rPr>
          <w:rFonts w:ascii="Calibri" w:eastAsia="Times New Roman" w:hAnsi="Calibri" w:cs="Calibri"/>
          <w:b/>
          <w:bCs/>
          <w:color w:val="000000"/>
          <w:kern w:val="0"/>
          <w14:ligatures w14:val="none"/>
        </w:rPr>
      </w:pPr>
      <w:r w:rsidRPr="00BD5B76">
        <w:rPr>
          <w:rFonts w:ascii="Calibri" w:eastAsia="Times New Roman" w:hAnsi="Calibri" w:cs="Calibri"/>
          <w:b/>
          <w:bCs/>
          <w:color w:val="000000"/>
          <w:kern w:val="0"/>
          <w14:ligatures w14:val="none"/>
        </w:rPr>
        <w:t>A Brief Reflection on the Enduring Motivation Behind REA</w:t>
      </w:r>
    </w:p>
    <w:p w14:paraId="3CC81845" w14:textId="77777777" w:rsidR="006C588D" w:rsidRPr="00BD5B76" w:rsidRDefault="006C588D" w:rsidP="00BD5B76">
      <w:pPr>
        <w:spacing w:after="0" w:line="240" w:lineRule="auto"/>
        <w:textAlignment w:val="baseline"/>
        <w:rPr>
          <w:rFonts w:ascii="Calibri" w:eastAsia="Times New Roman" w:hAnsi="Calibri" w:cs="Calibri"/>
          <w:color w:val="000000"/>
          <w:kern w:val="0"/>
          <w14:ligatures w14:val="none"/>
        </w:rPr>
      </w:pPr>
    </w:p>
    <w:p w14:paraId="01336B70" w14:textId="77777777" w:rsidR="00BD5B76" w:rsidRPr="00BD5B76" w:rsidRDefault="00BD5B76" w:rsidP="00BD5B76">
      <w:pPr>
        <w:spacing w:after="0" w:line="240" w:lineRule="auto"/>
        <w:textAlignment w:val="baseline"/>
        <w:rPr>
          <w:rFonts w:ascii="Calibri" w:eastAsia="Times New Roman" w:hAnsi="Calibri" w:cs="Calibri"/>
          <w:color w:val="000000"/>
          <w:kern w:val="0"/>
          <w14:ligatures w14:val="none"/>
        </w:rPr>
      </w:pPr>
      <w:r w:rsidRPr="00BD5B76">
        <w:rPr>
          <w:rFonts w:ascii="Calibri" w:eastAsia="Times New Roman" w:hAnsi="Calibri" w:cs="Calibri"/>
          <w:color w:val="000000"/>
          <w:kern w:val="0"/>
          <w14:ligatures w14:val="none"/>
        </w:rPr>
        <w:t>Over the past years, as my work has increasingly converged on building an REA-based system, I have occasionally tried to articulate to myself </w:t>
      </w:r>
      <w:r w:rsidRPr="00BD5B76">
        <w:rPr>
          <w:rFonts w:ascii="Calibri" w:eastAsia="Times New Roman" w:hAnsi="Calibri" w:cs="Calibri"/>
          <w:i/>
          <w:iCs/>
          <w:color w:val="000000"/>
          <w:kern w:val="0"/>
          <w14:ligatures w14:val="none"/>
        </w:rPr>
        <w:t>why</w:t>
      </w:r>
      <w:r w:rsidRPr="00BD5B76">
        <w:rPr>
          <w:rFonts w:ascii="Calibri" w:eastAsia="Times New Roman" w:hAnsi="Calibri" w:cs="Calibri"/>
          <w:color w:val="000000"/>
          <w:kern w:val="0"/>
          <w14:ligatures w14:val="none"/>
        </w:rPr>
        <w:t> this particular framework continues to command such sustained attention. What began as a personal question has increasingly appeared to be inseparable from the original intellectual motivations behind REA itself. In advance of our conversation, I wanted to share a short reflection that makes this connection explicit.</w:t>
      </w:r>
    </w:p>
    <w:p w14:paraId="2CAD4835" w14:textId="77777777" w:rsidR="00BD5B76" w:rsidRPr="00BD5B76" w:rsidRDefault="00BD5B76" w:rsidP="00BD5B76">
      <w:pPr>
        <w:spacing w:after="0" w:line="240" w:lineRule="auto"/>
        <w:textAlignment w:val="baseline"/>
        <w:rPr>
          <w:rFonts w:ascii="Calibri" w:eastAsia="Times New Roman" w:hAnsi="Calibri" w:cs="Calibri"/>
          <w:color w:val="000000"/>
          <w:kern w:val="0"/>
          <w14:ligatures w14:val="none"/>
        </w:rPr>
      </w:pPr>
      <w:r w:rsidRPr="00BD5B76">
        <w:rPr>
          <w:rFonts w:ascii="Calibri" w:eastAsia="Times New Roman" w:hAnsi="Calibri" w:cs="Calibri"/>
          <w:color w:val="000000"/>
          <w:kern w:val="0"/>
          <w14:ligatures w14:val="none"/>
        </w:rPr>
        <w:t>REA’s central contribution is not primarily computational but </w:t>
      </w:r>
      <w:r w:rsidRPr="00BD5B76">
        <w:rPr>
          <w:rFonts w:ascii="Calibri" w:eastAsia="Times New Roman" w:hAnsi="Calibri" w:cs="Calibri"/>
          <w:b/>
          <w:bCs/>
          <w:color w:val="000000"/>
          <w:kern w:val="0"/>
          <w14:ligatures w14:val="none"/>
        </w:rPr>
        <w:t>explanatory</w:t>
      </w:r>
      <w:r w:rsidRPr="00BD5B76">
        <w:rPr>
          <w:rFonts w:ascii="Calibri" w:eastAsia="Times New Roman" w:hAnsi="Calibri" w:cs="Calibri"/>
          <w:color w:val="000000"/>
          <w:kern w:val="0"/>
          <w14:ligatures w14:val="none"/>
        </w:rPr>
        <w:t>. Where traditional accounting systems treat balances and summaries as primary facts, REA takes economic events, resource flows, and agent participation as fundamental. Aggregates and reports are explicitly secondary and derived. This reflects an epistemological position: economic knowledge arises from events and relationships, not from state variables. In this sense, REA anticipated what is now called event sourcing, though its motivation was conceptual rather than architectural.</w:t>
      </w:r>
    </w:p>
    <w:p w14:paraId="0EB7ECA7" w14:textId="77777777" w:rsidR="00BD5B76" w:rsidRPr="00BD5B76" w:rsidRDefault="00BD5B76" w:rsidP="00BD5B76">
      <w:pPr>
        <w:spacing w:after="0" w:line="240" w:lineRule="auto"/>
        <w:textAlignment w:val="baseline"/>
        <w:rPr>
          <w:rFonts w:ascii="Calibri" w:eastAsia="Times New Roman" w:hAnsi="Calibri" w:cs="Calibri"/>
          <w:color w:val="000000"/>
          <w:kern w:val="0"/>
          <w14:ligatures w14:val="none"/>
        </w:rPr>
      </w:pPr>
      <w:r w:rsidRPr="00BD5B76">
        <w:rPr>
          <w:rFonts w:ascii="Calibri" w:eastAsia="Times New Roman" w:hAnsi="Calibri" w:cs="Calibri"/>
          <w:color w:val="000000"/>
          <w:kern w:val="0"/>
          <w14:ligatures w14:val="none"/>
        </w:rPr>
        <w:t>A second enduring feature of REA is its ontological discipline. By maintaining clear distinctions between resources, events, agents, commitments, and relationships, REA resists the category collapses common in both accounting models and enterprise systems. These distinctions are not stylistic; they are necessary for faithful representation of economic reality. The continued attraction of REA lies in its refusal to trade ontological correctness for implementation convenience.</w:t>
      </w:r>
    </w:p>
    <w:p w14:paraId="40FE8804" w14:textId="77777777" w:rsidR="00BD5B76" w:rsidRPr="00BD5B76" w:rsidRDefault="00BD5B76" w:rsidP="00BD5B76">
      <w:pPr>
        <w:spacing w:after="0" w:line="240" w:lineRule="auto"/>
        <w:textAlignment w:val="baseline"/>
        <w:rPr>
          <w:rFonts w:ascii="Calibri" w:eastAsia="Times New Roman" w:hAnsi="Calibri" w:cs="Calibri"/>
          <w:color w:val="000000"/>
          <w:kern w:val="0"/>
          <w14:ligatures w14:val="none"/>
        </w:rPr>
      </w:pPr>
      <w:r w:rsidRPr="00BD5B76">
        <w:rPr>
          <w:rFonts w:ascii="Calibri" w:eastAsia="Times New Roman" w:hAnsi="Calibri" w:cs="Calibri"/>
          <w:color w:val="000000"/>
          <w:kern w:val="0"/>
          <w14:ligatures w14:val="none"/>
        </w:rPr>
        <w:t>REA’s treatment of commitments and duality is particularly significant. Commitments formally acknowledge that economic reality includes structured expectations about future events, while duality expresses the relational nature of economic exchange. Together, they link intention and realization over time and provide a framework in which economic meaning emerges from reciprocal, temporally extended processes rather than isolated transactions.</w:t>
      </w:r>
    </w:p>
    <w:p w14:paraId="7FB4CC44" w14:textId="77777777" w:rsidR="00BD5B76" w:rsidRPr="00BD5B76" w:rsidRDefault="00BD5B76" w:rsidP="00BD5B76">
      <w:pPr>
        <w:spacing w:after="0" w:line="240" w:lineRule="auto"/>
        <w:textAlignment w:val="baseline"/>
        <w:rPr>
          <w:rFonts w:ascii="Calibri" w:eastAsia="Times New Roman" w:hAnsi="Calibri" w:cs="Calibri"/>
          <w:color w:val="000000"/>
          <w:kern w:val="0"/>
          <w14:ligatures w14:val="none"/>
        </w:rPr>
      </w:pPr>
      <w:r w:rsidRPr="00BD5B76">
        <w:rPr>
          <w:rFonts w:ascii="Calibri" w:eastAsia="Times New Roman" w:hAnsi="Calibri" w:cs="Calibri"/>
          <w:color w:val="000000"/>
          <w:kern w:val="0"/>
          <w14:ligatures w14:val="none"/>
        </w:rPr>
        <w:t>REA also adopts a clear stance on time. Events occur and cannot be undone; later information may refine understanding but does not erase the past. Corrections are additive rather than destructive. This position anticipates contemporary concerns with auditability, provenance, and bitemporal data, but its motivation is more fundamental: explanation and accountability require that history remain visible.</w:t>
      </w:r>
    </w:p>
    <w:p w14:paraId="560D47E2" w14:textId="77777777" w:rsidR="00BD5B76" w:rsidRPr="00BD5B76" w:rsidRDefault="00BD5B76" w:rsidP="00BD5B76">
      <w:pPr>
        <w:spacing w:after="0" w:line="240" w:lineRule="auto"/>
        <w:textAlignment w:val="baseline"/>
        <w:rPr>
          <w:rFonts w:ascii="Calibri" w:eastAsia="Times New Roman" w:hAnsi="Calibri" w:cs="Calibri"/>
          <w:color w:val="000000"/>
          <w:kern w:val="0"/>
          <w14:ligatures w14:val="none"/>
        </w:rPr>
      </w:pPr>
      <w:r w:rsidRPr="00BD5B76">
        <w:rPr>
          <w:rFonts w:ascii="Calibri" w:eastAsia="Times New Roman" w:hAnsi="Calibri" w:cs="Calibri"/>
          <w:color w:val="000000"/>
          <w:kern w:val="0"/>
          <w14:ligatures w14:val="none"/>
        </w:rPr>
        <w:t>Seen in this light, REA is not only a descriptive model but also a normative proposal for economic information systems. It implicitly argues that systems which govern obligations and entitlements should be able to explain themselves in terms of who acted, what was exchanged, under what commitments, and how those commitments were fulfilled. Explanation precedes authority.</w:t>
      </w:r>
    </w:p>
    <w:p w14:paraId="568B9A9E" w14:textId="77777777" w:rsidR="00BD5B76" w:rsidRPr="00BD5B76" w:rsidRDefault="00BD5B76" w:rsidP="00BD5B76">
      <w:pPr>
        <w:spacing w:after="0" w:line="240" w:lineRule="auto"/>
        <w:textAlignment w:val="baseline"/>
        <w:rPr>
          <w:rFonts w:ascii="Calibri" w:eastAsia="Times New Roman" w:hAnsi="Calibri" w:cs="Calibri"/>
          <w:color w:val="000000"/>
          <w:kern w:val="0"/>
          <w14:ligatures w14:val="none"/>
        </w:rPr>
      </w:pPr>
      <w:r w:rsidRPr="00BD5B76">
        <w:rPr>
          <w:rFonts w:ascii="Calibri" w:eastAsia="Times New Roman" w:hAnsi="Calibri" w:cs="Calibri"/>
          <w:color w:val="000000"/>
          <w:kern w:val="0"/>
          <w14:ligatures w14:val="none"/>
        </w:rPr>
        <w:t>The continued relevance of REA today is therefore not historical. Despite advances such as event sourcing and CQRS, many systems still struggle to provide coherent explanations of economic reality. REA remains compelling because it addresses the semantic and ontological foundations that such systems require but rarely make explicit.</w:t>
      </w:r>
    </w:p>
    <w:p w14:paraId="44B7805B" w14:textId="77777777" w:rsidR="00BD5B76" w:rsidRPr="00BD5B76" w:rsidRDefault="00BD5B76" w:rsidP="00BD5B76">
      <w:pPr>
        <w:spacing w:after="0" w:line="240" w:lineRule="auto"/>
        <w:textAlignment w:val="baseline"/>
        <w:rPr>
          <w:rFonts w:ascii="Calibri" w:eastAsia="Times New Roman" w:hAnsi="Calibri" w:cs="Calibri"/>
          <w:color w:val="000000"/>
          <w:kern w:val="0"/>
          <w14:ligatures w14:val="none"/>
        </w:rPr>
      </w:pPr>
      <w:r w:rsidRPr="00BD5B76">
        <w:rPr>
          <w:rFonts w:ascii="Calibri" w:eastAsia="Times New Roman" w:hAnsi="Calibri" w:cs="Calibri"/>
          <w:color w:val="000000"/>
          <w:kern w:val="0"/>
          <w14:ligatures w14:val="none"/>
        </w:rPr>
        <w:t>If this reflection has a single thesis, it is this: </w:t>
      </w:r>
      <w:r w:rsidRPr="00BD5B76">
        <w:rPr>
          <w:rFonts w:ascii="Calibri" w:eastAsia="Times New Roman" w:hAnsi="Calibri" w:cs="Calibri"/>
          <w:b/>
          <w:bCs/>
          <w:color w:val="000000"/>
          <w:kern w:val="0"/>
          <w14:ligatures w14:val="none"/>
        </w:rPr>
        <w:t>REA endures because it treats explanation as a first-class requirement of economic systems, rather than as a by-product of computation.</w:t>
      </w:r>
    </w:p>
    <w:p w14:paraId="30D0CBB1" w14:textId="77777777" w:rsidR="006C588D" w:rsidRDefault="006C588D" w:rsidP="00BD5B76">
      <w:pPr>
        <w:spacing w:after="0" w:line="240" w:lineRule="auto"/>
        <w:textAlignment w:val="baseline"/>
        <w:rPr>
          <w:rFonts w:ascii="Calibri" w:eastAsia="Times New Roman" w:hAnsi="Calibri" w:cs="Calibri"/>
          <w:b/>
          <w:bCs/>
          <w:color w:val="000000"/>
          <w:kern w:val="0"/>
          <w14:ligatures w14:val="none"/>
        </w:rPr>
      </w:pPr>
    </w:p>
    <w:p w14:paraId="50091261" w14:textId="491B2114" w:rsidR="00BD5B76" w:rsidRPr="00BD5B76" w:rsidRDefault="00BD5B76" w:rsidP="00BD5B76">
      <w:pPr>
        <w:spacing w:after="0" w:line="240" w:lineRule="auto"/>
        <w:textAlignment w:val="baseline"/>
        <w:rPr>
          <w:rFonts w:ascii="Calibri" w:eastAsia="Times New Roman" w:hAnsi="Calibri" w:cs="Calibri"/>
          <w:color w:val="000000"/>
          <w:kern w:val="0"/>
          <w14:ligatures w14:val="none"/>
        </w:rPr>
      </w:pPr>
      <w:r w:rsidRPr="00BD5B76">
        <w:rPr>
          <w:rFonts w:ascii="Calibri" w:eastAsia="Times New Roman" w:hAnsi="Calibri" w:cs="Calibri"/>
          <w:b/>
          <w:bCs/>
          <w:color w:val="000000"/>
          <w:kern w:val="0"/>
          <w14:ligatures w14:val="none"/>
        </w:rPr>
        <w:t>Jesper</w:t>
      </w:r>
    </w:p>
    <w:p w14:paraId="51AD03A1" w14:textId="77777777" w:rsidR="00B47A26" w:rsidRDefault="00B47A26"/>
    <w:sectPr w:rsidR="00B47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C8A"/>
    <w:rsid w:val="000541EB"/>
    <w:rsid w:val="0017567C"/>
    <w:rsid w:val="00205119"/>
    <w:rsid w:val="0061650D"/>
    <w:rsid w:val="006533A0"/>
    <w:rsid w:val="006C588D"/>
    <w:rsid w:val="00700C8A"/>
    <w:rsid w:val="00934CBC"/>
    <w:rsid w:val="00B35A70"/>
    <w:rsid w:val="00B47A26"/>
    <w:rsid w:val="00BD5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9A60"/>
  <w15:chartTrackingRefBased/>
  <w15:docId w15:val="{21DEF70B-AAD9-45DF-9D74-45FEE474D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C8A"/>
    <w:rPr>
      <w:rFonts w:eastAsiaTheme="majorEastAsia" w:cstheme="majorBidi"/>
      <w:color w:val="272727" w:themeColor="text1" w:themeTint="D8"/>
    </w:rPr>
  </w:style>
  <w:style w:type="paragraph" w:styleId="Title">
    <w:name w:val="Title"/>
    <w:basedOn w:val="Normal"/>
    <w:next w:val="Normal"/>
    <w:link w:val="TitleChar"/>
    <w:uiPriority w:val="10"/>
    <w:qFormat/>
    <w:rsid w:val="00700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C8A"/>
    <w:pPr>
      <w:spacing w:before="160"/>
      <w:jc w:val="center"/>
    </w:pPr>
    <w:rPr>
      <w:i/>
      <w:iCs/>
      <w:color w:val="404040" w:themeColor="text1" w:themeTint="BF"/>
    </w:rPr>
  </w:style>
  <w:style w:type="character" w:customStyle="1" w:styleId="QuoteChar">
    <w:name w:val="Quote Char"/>
    <w:basedOn w:val="DefaultParagraphFont"/>
    <w:link w:val="Quote"/>
    <w:uiPriority w:val="29"/>
    <w:rsid w:val="00700C8A"/>
    <w:rPr>
      <w:i/>
      <w:iCs/>
      <w:color w:val="404040" w:themeColor="text1" w:themeTint="BF"/>
    </w:rPr>
  </w:style>
  <w:style w:type="paragraph" w:styleId="ListParagraph">
    <w:name w:val="List Paragraph"/>
    <w:basedOn w:val="Normal"/>
    <w:uiPriority w:val="34"/>
    <w:qFormat/>
    <w:rsid w:val="00700C8A"/>
    <w:pPr>
      <w:ind w:left="720"/>
      <w:contextualSpacing/>
    </w:pPr>
  </w:style>
  <w:style w:type="character" w:styleId="IntenseEmphasis">
    <w:name w:val="Intense Emphasis"/>
    <w:basedOn w:val="DefaultParagraphFont"/>
    <w:uiPriority w:val="21"/>
    <w:qFormat/>
    <w:rsid w:val="00700C8A"/>
    <w:rPr>
      <w:i/>
      <w:iCs/>
      <w:color w:val="0F4761" w:themeColor="accent1" w:themeShade="BF"/>
    </w:rPr>
  </w:style>
  <w:style w:type="paragraph" w:styleId="IntenseQuote">
    <w:name w:val="Intense Quote"/>
    <w:basedOn w:val="Normal"/>
    <w:next w:val="Normal"/>
    <w:link w:val="IntenseQuoteChar"/>
    <w:uiPriority w:val="30"/>
    <w:qFormat/>
    <w:rsid w:val="00700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C8A"/>
    <w:rPr>
      <w:i/>
      <w:iCs/>
      <w:color w:val="0F4761" w:themeColor="accent1" w:themeShade="BF"/>
    </w:rPr>
  </w:style>
  <w:style w:type="character" w:styleId="IntenseReference">
    <w:name w:val="Intense Reference"/>
    <w:basedOn w:val="DefaultParagraphFont"/>
    <w:uiPriority w:val="32"/>
    <w:qFormat/>
    <w:rsid w:val="00700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McCarthy, William</dc:creator>
  <cp:keywords/>
  <dc:description/>
  <cp:lastModifiedBy>McCarthy, William</cp:lastModifiedBy>
  <cp:revision>2</cp:revision>
  <dcterms:created xsi:type="dcterms:W3CDTF">2026-07-03T14:18:00Z</dcterms:created>
  <dcterms:modified xsi:type="dcterms:W3CDTF">2026-07-03T14:18:00Z</dcterms:modified>
</cp:coreProperties>
</file>