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Auditing and Improving FinRobot's Equity-Research Pipeline</w:t>
      </w:r>
    </w:p>
    <w:p>
      <w:pPr>
        <w:jc w:val="center"/>
      </w:pPr>
      <w:r>
        <w:rPr>
          <w:b/>
        </w:rPr>
        <w:t>STAT-GR5398 Assignment 1 - FinRobot Equity Research AI Agent Track</w:t>
      </w:r>
    </w:p>
    <w:p>
      <w:pPr>
        <w:jc w:val="center"/>
      </w:pPr>
      <w:r>
        <w:t>Xinru Xiao | Fall 2026</w:t>
      </w:r>
    </w:p>
    <w:p>
      <w:pPr>
        <w:pStyle w:val="Heading1"/>
      </w:pPr>
      <w:r>
        <w:t>Executive Summary</w:t>
      </w:r>
    </w:p>
    <w:p>
      <w:r>
        <w:t>I evaluated FinRobot on five Technology-sector companies (NVDA, AMD, INTC, AAPL and MSFT), audited source data and generated claims, reproduced valuation logic, tested stability, and refactored the valuation layer. Filing-linked accounting values reconciled well for Apple and Microsoft, but narrative grounding was materially weaker: 142 of 261 audited claims were directly supported by the agents' shared evidence base (54.4%). The strongest section was Major Takeaways (100% grounded) and the weakest was Company Overview (22.8%). The valuation refactor replaced synthetic net debt, EBITDA×60% FCF, arbitrary fallbacks, and a broken peer-data path with actual cash flow, actual net debt, historical multiples, explicit DCF assumptions, common-year peers and deterministic synthesis. Stability testing also exposed a non-LLM failure: FMP rate limiting turned live rating/target fields into N/A/0 in two of three repeated NVDA runs.</w:t>
      </w:r>
    </w:p>
    <w:p>
      <w:pPr>
        <w:pStyle w:val="Heading1"/>
      </w:pPr>
      <w:r>
        <w:t>1. Setup and Coverage Universe</w:t>
      </w:r>
    </w:p>
    <w:p>
      <w:r>
        <w:t>Model: GPT-4.1. Data provider: Financial Modeling Prep (FMP); Google News RSS was used as a fallback when the FMP news endpoint returned 402. Adanos retail sentiment was not configured.</w:t>
      </w:r>
    </w:p>
    <w:p>
      <w:r>
        <w:t>Coverage universe: NVIDIA, AMD, Intel, Apple and Microsoft, all classified by the report pipeline as Technology. Each company was run with at least two peers. The mix intentionally includes hypergrowth, mature-platform and turnaround profiles.</w:t>
      </w:r>
    </w:p>
    <w:p>
      <w:r>
        <w:t>Exact API cost and end-to-end baseline runtime were not logged by the saved pipeline artifacts, so this report does not invent dollar or runtime values. The saved experiment contains 40 baseline GPT-4.1 narrative calls (8 sections × 5 companies) plus 16 calls from two additional NVDA stability reruns, or 56 narrative calls total. FMP cost depends on the user's subscription plan.</w:t>
      </w:r>
    </w:p>
    <w:p>
      <w:pPr>
        <w:pStyle w:val="Heading1"/>
      </w:pPr>
      <w:r>
        <w:t>2. Data Audit Against SEC Filings</w:t>
      </w:r>
    </w:p>
    <w:p>
      <w:r>
        <w:t>I reconciled 22 items across Apple and Microsoft. All selected items matched at the displayed precision. The main semantic issue is naming: FinRobot's 'Contribution Profit' is mathematically Revenue minus Cost of Operations and equals filing gross profit/gross margin.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Company</w:t>
            </w:r>
          </w:p>
        </w:tc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</w:t>
            </w:r>
          </w:p>
        </w:tc>
        <w:tc>
          <w:tcPr>
            <w:tcW w:type="dxa" w:w="1680"/>
          </w:tcPr>
          <w:p>
            <w:r>
              <w:t>Pipeline</w:t>
            </w:r>
          </w:p>
        </w:tc>
        <w:tc>
          <w:tcPr>
            <w:tcW w:type="dxa" w:w="1680"/>
          </w:tcPr>
          <w:p>
            <w:r>
              <w:t>Filing</w:t>
            </w:r>
          </w:p>
        </w:tc>
        <w:tc>
          <w:tcPr>
            <w:tcW w:type="dxa" w:w="1680"/>
          </w:tcPr>
          <w:p>
            <w:r>
              <w:t>Verdict</w:t>
            </w:r>
          </w:p>
        </w:tc>
      </w:tr>
      <w:tr>
        <w:tc>
          <w:tcPr>
            <w:tcW w:type="dxa" w:w="1680"/>
          </w:tcPr>
          <w:p>
            <w:r>
              <w:t>AAPL</w:t>
            </w:r>
          </w:p>
        </w:tc>
        <w:tc>
          <w:tcPr>
            <w:tcW w:type="dxa" w:w="1680"/>
          </w:tcPr>
          <w:p>
            <w:r>
              <w:t>Revenue</w:t>
            </w:r>
          </w:p>
        </w:tc>
        <w:tc>
          <w:tcPr>
            <w:tcW w:type="dxa" w:w="1680"/>
          </w:tcPr>
          <w:p>
            <w:r>
              <w:t>2025</w:t>
            </w:r>
          </w:p>
        </w:tc>
        <w:tc>
          <w:tcPr>
            <w:tcW w:type="dxa" w:w="1680"/>
          </w:tcPr>
          <w:p>
            <w:r>
              <w:t>416161</w:t>
            </w:r>
          </w:p>
        </w:tc>
        <w:tc>
          <w:tcPr>
            <w:tcW w:type="dxa" w:w="1680"/>
          </w:tcPr>
          <w:p>
            <w:r>
              <w:t>416161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AAPL</w:t>
            </w:r>
          </w:p>
        </w:tc>
        <w:tc>
          <w:tcPr>
            <w:tcW w:type="dxa" w:w="1680"/>
          </w:tcPr>
          <w:p>
            <w:r>
              <w:t>Revenue</w:t>
            </w:r>
          </w:p>
        </w:tc>
        <w:tc>
          <w:tcPr>
            <w:tcW w:type="dxa" w:w="1680"/>
          </w:tcPr>
          <w:p>
            <w:r>
              <w:t>2024</w:t>
            </w:r>
          </w:p>
        </w:tc>
        <w:tc>
          <w:tcPr>
            <w:tcW w:type="dxa" w:w="1680"/>
          </w:tcPr>
          <w:p>
            <w:r>
              <w:t>391035</w:t>
            </w:r>
          </w:p>
        </w:tc>
        <w:tc>
          <w:tcPr>
            <w:tcW w:type="dxa" w:w="1680"/>
          </w:tcPr>
          <w:p>
            <w:r>
              <w:t>391035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AAPL</w:t>
            </w:r>
          </w:p>
        </w:tc>
        <w:tc>
          <w:tcPr>
            <w:tcW w:type="dxa" w:w="1680"/>
          </w:tcPr>
          <w:p>
            <w:r>
              <w:t>Cost of Operations</w:t>
            </w:r>
          </w:p>
        </w:tc>
        <w:tc>
          <w:tcPr>
            <w:tcW w:type="dxa" w:w="1680"/>
          </w:tcPr>
          <w:p>
            <w:r>
              <w:t>2025</w:t>
            </w:r>
          </w:p>
        </w:tc>
        <w:tc>
          <w:tcPr>
            <w:tcW w:type="dxa" w:w="1680"/>
          </w:tcPr>
          <w:p>
            <w:r>
              <w:t>220960</w:t>
            </w:r>
          </w:p>
        </w:tc>
        <w:tc>
          <w:tcPr>
            <w:tcW w:type="dxa" w:w="1680"/>
          </w:tcPr>
          <w:p>
            <w:r>
              <w:t>220960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AAPL</w:t>
            </w:r>
          </w:p>
        </w:tc>
        <w:tc>
          <w:tcPr>
            <w:tcW w:type="dxa" w:w="1680"/>
          </w:tcPr>
          <w:p>
            <w:r>
              <w:t>Cost of Operations</w:t>
            </w:r>
          </w:p>
        </w:tc>
        <w:tc>
          <w:tcPr>
            <w:tcW w:type="dxa" w:w="1680"/>
          </w:tcPr>
          <w:p>
            <w:r>
              <w:t>2024</w:t>
            </w:r>
          </w:p>
        </w:tc>
        <w:tc>
          <w:tcPr>
            <w:tcW w:type="dxa" w:w="1680"/>
          </w:tcPr>
          <w:p>
            <w:r>
              <w:t>210352</w:t>
            </w:r>
          </w:p>
        </w:tc>
        <w:tc>
          <w:tcPr>
            <w:tcW w:type="dxa" w:w="1680"/>
          </w:tcPr>
          <w:p>
            <w:r>
              <w:t>210352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AAPL</w:t>
            </w:r>
          </w:p>
        </w:tc>
        <w:tc>
          <w:tcPr>
            <w:tcW w:type="dxa" w:w="1680"/>
          </w:tcPr>
          <w:p>
            <w:r>
              <w:t>SG&amp;A</w:t>
            </w:r>
          </w:p>
        </w:tc>
        <w:tc>
          <w:tcPr>
            <w:tcW w:type="dxa" w:w="1680"/>
          </w:tcPr>
          <w:p>
            <w:r>
              <w:t>2025</w:t>
            </w:r>
          </w:p>
        </w:tc>
        <w:tc>
          <w:tcPr>
            <w:tcW w:type="dxa" w:w="1680"/>
          </w:tcPr>
          <w:p>
            <w:r>
              <w:t>27601</w:t>
            </w:r>
          </w:p>
        </w:tc>
        <w:tc>
          <w:tcPr>
            <w:tcW w:type="dxa" w:w="1680"/>
          </w:tcPr>
          <w:p>
            <w:r>
              <w:t>27601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AAPL</w:t>
            </w:r>
          </w:p>
        </w:tc>
        <w:tc>
          <w:tcPr>
            <w:tcW w:type="dxa" w:w="1680"/>
          </w:tcPr>
          <w:p>
            <w:r>
              <w:t>SG&amp;A</w:t>
            </w:r>
          </w:p>
        </w:tc>
        <w:tc>
          <w:tcPr>
            <w:tcW w:type="dxa" w:w="1680"/>
          </w:tcPr>
          <w:p>
            <w:r>
              <w:t>2024</w:t>
            </w:r>
          </w:p>
        </w:tc>
        <w:tc>
          <w:tcPr>
            <w:tcW w:type="dxa" w:w="1680"/>
          </w:tcPr>
          <w:p>
            <w:r>
              <w:t>26097</w:t>
            </w:r>
          </w:p>
        </w:tc>
        <w:tc>
          <w:tcPr>
            <w:tcW w:type="dxa" w:w="1680"/>
          </w:tcPr>
          <w:p>
            <w:r>
              <w:t>26097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AAPL</w:t>
            </w:r>
          </w:p>
        </w:tc>
        <w:tc>
          <w:tcPr>
            <w:tcW w:type="dxa" w:w="1680"/>
          </w:tcPr>
          <w:p>
            <w:r>
              <w:t>Contribution Profit</w:t>
            </w:r>
          </w:p>
        </w:tc>
        <w:tc>
          <w:tcPr>
            <w:tcW w:type="dxa" w:w="1680"/>
          </w:tcPr>
          <w:p>
            <w:r>
              <w:t>2025</w:t>
            </w:r>
          </w:p>
        </w:tc>
        <w:tc>
          <w:tcPr>
            <w:tcW w:type="dxa" w:w="1680"/>
          </w:tcPr>
          <w:p>
            <w:r>
              <w:t>195201</w:t>
            </w:r>
          </w:p>
        </w:tc>
        <w:tc>
          <w:tcPr>
            <w:tcW w:type="dxa" w:w="1680"/>
          </w:tcPr>
          <w:p>
            <w:r>
              <w:t>195201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AAPL</w:t>
            </w:r>
          </w:p>
        </w:tc>
        <w:tc>
          <w:tcPr>
            <w:tcW w:type="dxa" w:w="1680"/>
          </w:tcPr>
          <w:p>
            <w:r>
              <w:t>Contribution Profit</w:t>
            </w:r>
          </w:p>
        </w:tc>
        <w:tc>
          <w:tcPr>
            <w:tcW w:type="dxa" w:w="1680"/>
          </w:tcPr>
          <w:p>
            <w:r>
              <w:t>2024</w:t>
            </w:r>
          </w:p>
        </w:tc>
        <w:tc>
          <w:tcPr>
            <w:tcW w:type="dxa" w:w="1680"/>
          </w:tcPr>
          <w:p>
            <w:r>
              <w:t>180683</w:t>
            </w:r>
          </w:p>
        </w:tc>
        <w:tc>
          <w:tcPr>
            <w:tcW w:type="dxa" w:w="1680"/>
          </w:tcPr>
          <w:p>
            <w:r>
              <w:t>180683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AAPL</w:t>
            </w:r>
          </w:p>
        </w:tc>
        <w:tc>
          <w:tcPr>
            <w:tcW w:type="dxa" w:w="1680"/>
          </w:tcPr>
          <w:p>
            <w:r>
              <w:t>Contribution Margin</w:t>
            </w:r>
          </w:p>
        </w:tc>
        <w:tc>
          <w:tcPr>
            <w:tcW w:type="dxa" w:w="1680"/>
          </w:tcPr>
          <w:p>
            <w:r>
              <w:t>2025</w:t>
            </w:r>
          </w:p>
        </w:tc>
        <w:tc>
          <w:tcPr>
            <w:tcW w:type="dxa" w:w="1680"/>
          </w:tcPr>
          <w:p>
            <w:r>
              <w:t>46.9</w:t>
            </w:r>
          </w:p>
        </w:tc>
        <w:tc>
          <w:tcPr>
            <w:tcW w:type="dxa" w:w="1680"/>
          </w:tcPr>
          <w:p>
            <w:r>
              <w:t>46.9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AAPL</w:t>
            </w:r>
          </w:p>
        </w:tc>
        <w:tc>
          <w:tcPr>
            <w:tcW w:type="dxa" w:w="1680"/>
          </w:tcPr>
          <w:p>
            <w:r>
              <w:t>Revenue Growth</w:t>
            </w:r>
          </w:p>
        </w:tc>
        <w:tc>
          <w:tcPr>
            <w:tcW w:type="dxa" w:w="1680"/>
          </w:tcPr>
          <w:p>
            <w:r>
              <w:t>2025</w:t>
            </w:r>
          </w:p>
        </w:tc>
        <w:tc>
          <w:tcPr>
            <w:tcW w:type="dxa" w:w="1680"/>
          </w:tcPr>
          <w:p>
            <w:r>
              <w:t>6.4</w:t>
            </w:r>
          </w:p>
        </w:tc>
        <w:tc>
          <w:tcPr>
            <w:tcW w:type="dxa" w:w="1680"/>
          </w:tcPr>
          <w:p>
            <w:r>
              <w:t>6.4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AAPL</w:t>
            </w:r>
          </w:p>
        </w:tc>
        <w:tc>
          <w:tcPr>
            <w:tcW w:type="dxa" w:w="1680"/>
          </w:tcPr>
          <w:p>
            <w:r>
              <w:t>EPS</w:t>
            </w:r>
          </w:p>
        </w:tc>
        <w:tc>
          <w:tcPr>
            <w:tcW w:type="dxa" w:w="1680"/>
          </w:tcPr>
          <w:p>
            <w:r>
              <w:t>2025</w:t>
            </w:r>
          </w:p>
        </w:tc>
        <w:tc>
          <w:tcPr>
            <w:tcW w:type="dxa" w:w="1680"/>
          </w:tcPr>
          <w:p>
            <w:r>
              <w:t>7.49</w:t>
            </w:r>
          </w:p>
        </w:tc>
        <w:tc>
          <w:tcPr>
            <w:tcW w:type="dxa" w:w="1680"/>
          </w:tcPr>
          <w:p>
            <w:r>
              <w:t>7.49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MSFT</w:t>
            </w:r>
          </w:p>
        </w:tc>
        <w:tc>
          <w:tcPr>
            <w:tcW w:type="dxa" w:w="1680"/>
          </w:tcPr>
          <w:p>
            <w:r>
              <w:t>Revenue</w:t>
            </w:r>
          </w:p>
        </w:tc>
        <w:tc>
          <w:tcPr>
            <w:tcW w:type="dxa" w:w="1680"/>
          </w:tcPr>
          <w:p>
            <w:r>
              <w:t>2026</w:t>
            </w:r>
          </w:p>
        </w:tc>
        <w:tc>
          <w:tcPr>
            <w:tcW w:type="dxa" w:w="1680"/>
          </w:tcPr>
          <w:p>
            <w:r>
              <w:t>331839</w:t>
            </w:r>
          </w:p>
        </w:tc>
        <w:tc>
          <w:tcPr>
            <w:tcW w:type="dxa" w:w="1680"/>
          </w:tcPr>
          <w:p>
            <w:r>
              <w:t>331839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MSFT</w:t>
            </w:r>
          </w:p>
        </w:tc>
        <w:tc>
          <w:tcPr>
            <w:tcW w:type="dxa" w:w="1680"/>
          </w:tcPr>
          <w:p>
            <w:r>
              <w:t>Revenue</w:t>
            </w:r>
          </w:p>
        </w:tc>
        <w:tc>
          <w:tcPr>
            <w:tcW w:type="dxa" w:w="1680"/>
          </w:tcPr>
          <w:p>
            <w:r>
              <w:t>2025</w:t>
            </w:r>
          </w:p>
        </w:tc>
        <w:tc>
          <w:tcPr>
            <w:tcW w:type="dxa" w:w="1680"/>
          </w:tcPr>
          <w:p>
            <w:r>
              <w:t>281724</w:t>
            </w:r>
          </w:p>
        </w:tc>
        <w:tc>
          <w:tcPr>
            <w:tcW w:type="dxa" w:w="1680"/>
          </w:tcPr>
          <w:p>
            <w:r>
              <w:t>281724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MSFT</w:t>
            </w:r>
          </w:p>
        </w:tc>
        <w:tc>
          <w:tcPr>
            <w:tcW w:type="dxa" w:w="1680"/>
          </w:tcPr>
          <w:p>
            <w:r>
              <w:t>Cost of Operations</w:t>
            </w:r>
          </w:p>
        </w:tc>
        <w:tc>
          <w:tcPr>
            <w:tcW w:type="dxa" w:w="1680"/>
          </w:tcPr>
          <w:p>
            <w:r>
              <w:t>2026</w:t>
            </w:r>
          </w:p>
        </w:tc>
        <w:tc>
          <w:tcPr>
            <w:tcW w:type="dxa" w:w="1680"/>
          </w:tcPr>
          <w:p>
            <w:r>
              <w:t>106374</w:t>
            </w:r>
          </w:p>
        </w:tc>
        <w:tc>
          <w:tcPr>
            <w:tcW w:type="dxa" w:w="1680"/>
          </w:tcPr>
          <w:p>
            <w:r>
              <w:t>106374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MSFT</w:t>
            </w:r>
          </w:p>
        </w:tc>
        <w:tc>
          <w:tcPr>
            <w:tcW w:type="dxa" w:w="1680"/>
          </w:tcPr>
          <w:p>
            <w:r>
              <w:t>Cost of Operations</w:t>
            </w:r>
          </w:p>
        </w:tc>
        <w:tc>
          <w:tcPr>
            <w:tcW w:type="dxa" w:w="1680"/>
          </w:tcPr>
          <w:p>
            <w:r>
              <w:t>2025</w:t>
            </w:r>
          </w:p>
        </w:tc>
        <w:tc>
          <w:tcPr>
            <w:tcW w:type="dxa" w:w="1680"/>
          </w:tcPr>
          <w:p>
            <w:r>
              <w:t>87831</w:t>
            </w:r>
          </w:p>
        </w:tc>
        <w:tc>
          <w:tcPr>
            <w:tcW w:type="dxa" w:w="1680"/>
          </w:tcPr>
          <w:p>
            <w:r>
              <w:t>87831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MSFT</w:t>
            </w:r>
          </w:p>
        </w:tc>
        <w:tc>
          <w:tcPr>
            <w:tcW w:type="dxa" w:w="1680"/>
          </w:tcPr>
          <w:p>
            <w:r>
              <w:t>SG&amp;A</w:t>
            </w:r>
          </w:p>
        </w:tc>
        <w:tc>
          <w:tcPr>
            <w:tcW w:type="dxa" w:w="1680"/>
          </w:tcPr>
          <w:p>
            <w:r>
              <w:t>2026</w:t>
            </w:r>
          </w:p>
        </w:tc>
        <w:tc>
          <w:tcPr>
            <w:tcW w:type="dxa" w:w="1680"/>
          </w:tcPr>
          <w:p>
            <w:r>
              <w:t>34666</w:t>
            </w:r>
          </w:p>
        </w:tc>
        <w:tc>
          <w:tcPr>
            <w:tcW w:type="dxa" w:w="1680"/>
          </w:tcPr>
          <w:p>
            <w:r>
              <w:t>34666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MSFT</w:t>
            </w:r>
          </w:p>
        </w:tc>
        <w:tc>
          <w:tcPr>
            <w:tcW w:type="dxa" w:w="1680"/>
          </w:tcPr>
          <w:p>
            <w:r>
              <w:t>SG&amp;A</w:t>
            </w:r>
          </w:p>
        </w:tc>
        <w:tc>
          <w:tcPr>
            <w:tcW w:type="dxa" w:w="1680"/>
          </w:tcPr>
          <w:p>
            <w:r>
              <w:t>2025</w:t>
            </w:r>
          </w:p>
        </w:tc>
        <w:tc>
          <w:tcPr>
            <w:tcW w:type="dxa" w:w="1680"/>
          </w:tcPr>
          <w:p>
            <w:r>
              <w:t>32877</w:t>
            </w:r>
          </w:p>
        </w:tc>
        <w:tc>
          <w:tcPr>
            <w:tcW w:type="dxa" w:w="1680"/>
          </w:tcPr>
          <w:p>
            <w:r>
              <w:t>32877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MSFT</w:t>
            </w:r>
          </w:p>
        </w:tc>
        <w:tc>
          <w:tcPr>
            <w:tcW w:type="dxa" w:w="1680"/>
          </w:tcPr>
          <w:p>
            <w:r>
              <w:t>Contribution Profit</w:t>
            </w:r>
          </w:p>
        </w:tc>
        <w:tc>
          <w:tcPr>
            <w:tcW w:type="dxa" w:w="1680"/>
          </w:tcPr>
          <w:p>
            <w:r>
              <w:t>2026</w:t>
            </w:r>
          </w:p>
        </w:tc>
        <w:tc>
          <w:tcPr>
            <w:tcW w:type="dxa" w:w="1680"/>
          </w:tcPr>
          <w:p>
            <w:r>
              <w:t>225465</w:t>
            </w:r>
          </w:p>
        </w:tc>
        <w:tc>
          <w:tcPr>
            <w:tcW w:type="dxa" w:w="1680"/>
          </w:tcPr>
          <w:p>
            <w:r>
              <w:t>225465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MSFT</w:t>
            </w:r>
          </w:p>
        </w:tc>
        <w:tc>
          <w:tcPr>
            <w:tcW w:type="dxa" w:w="1680"/>
          </w:tcPr>
          <w:p>
            <w:r>
              <w:t>Contribution Profit</w:t>
            </w:r>
          </w:p>
        </w:tc>
        <w:tc>
          <w:tcPr>
            <w:tcW w:type="dxa" w:w="1680"/>
          </w:tcPr>
          <w:p>
            <w:r>
              <w:t>2025</w:t>
            </w:r>
          </w:p>
        </w:tc>
        <w:tc>
          <w:tcPr>
            <w:tcW w:type="dxa" w:w="1680"/>
          </w:tcPr>
          <w:p>
            <w:r>
              <w:t>193893</w:t>
            </w:r>
          </w:p>
        </w:tc>
        <w:tc>
          <w:tcPr>
            <w:tcW w:type="dxa" w:w="1680"/>
          </w:tcPr>
          <w:p>
            <w:r>
              <w:t>193893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MSFT</w:t>
            </w:r>
          </w:p>
        </w:tc>
        <w:tc>
          <w:tcPr>
            <w:tcW w:type="dxa" w:w="1680"/>
          </w:tcPr>
          <w:p>
            <w:r>
              <w:t>Contribution Margin</w:t>
            </w:r>
          </w:p>
        </w:tc>
        <w:tc>
          <w:tcPr>
            <w:tcW w:type="dxa" w:w="1680"/>
          </w:tcPr>
          <w:p>
            <w:r>
              <w:t>2026</w:t>
            </w:r>
          </w:p>
        </w:tc>
        <w:tc>
          <w:tcPr>
            <w:tcW w:type="dxa" w:w="1680"/>
          </w:tcPr>
          <w:p>
            <w:r>
              <w:t>67.9</w:t>
            </w:r>
          </w:p>
        </w:tc>
        <w:tc>
          <w:tcPr>
            <w:tcW w:type="dxa" w:w="1680"/>
          </w:tcPr>
          <w:p>
            <w:r>
              <w:t>67.9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MSFT</w:t>
            </w:r>
          </w:p>
        </w:tc>
        <w:tc>
          <w:tcPr>
            <w:tcW w:type="dxa" w:w="1680"/>
          </w:tcPr>
          <w:p>
            <w:r>
              <w:t>Revenue Growth</w:t>
            </w:r>
          </w:p>
        </w:tc>
        <w:tc>
          <w:tcPr>
            <w:tcW w:type="dxa" w:w="1680"/>
          </w:tcPr>
          <w:p>
            <w:r>
              <w:t>2026</w:t>
            </w:r>
          </w:p>
        </w:tc>
        <w:tc>
          <w:tcPr>
            <w:tcW w:type="dxa" w:w="1680"/>
          </w:tcPr>
          <w:p>
            <w:r>
              <w:t>17.8</w:t>
            </w:r>
          </w:p>
        </w:tc>
        <w:tc>
          <w:tcPr>
            <w:tcW w:type="dxa" w:w="1680"/>
          </w:tcPr>
          <w:p>
            <w:r>
              <w:t>17.8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  <w:tr>
        <w:tc>
          <w:tcPr>
            <w:tcW w:type="dxa" w:w="1680"/>
          </w:tcPr>
          <w:p>
            <w:r>
              <w:t>MSFT</w:t>
            </w:r>
          </w:p>
        </w:tc>
        <w:tc>
          <w:tcPr>
            <w:tcW w:type="dxa" w:w="1680"/>
          </w:tcPr>
          <w:p>
            <w:r>
              <w:t>EPS</w:t>
            </w:r>
          </w:p>
        </w:tc>
        <w:tc>
          <w:tcPr>
            <w:tcW w:type="dxa" w:w="1680"/>
          </w:tcPr>
          <w:p>
            <w:r>
              <w:t>2026</w:t>
            </w:r>
          </w:p>
        </w:tc>
        <w:tc>
          <w:tcPr>
            <w:tcW w:type="dxa" w:w="1680"/>
          </w:tcPr>
          <w:p>
            <w:r>
              <w:t>18.0</w:t>
            </w:r>
          </w:p>
        </w:tc>
        <w:tc>
          <w:tcPr>
            <w:tcW w:type="dxa" w:w="1680"/>
          </w:tcPr>
          <w:p>
            <w:r>
              <w:t>18.0</w:t>
            </w:r>
          </w:p>
        </w:tc>
        <w:tc>
          <w:tcPr>
            <w:tcW w:type="dxa" w:w="1680"/>
          </w:tcPr>
          <w:p>
            <w:r>
              <w:t>Match</w:t>
            </w:r>
          </w:p>
        </w:tc>
      </w:tr>
    </w:tbl>
    <w:p>
      <w:pPr>
        <w:pStyle w:val="Heading1"/>
      </w:pPr>
      <w:r>
        <w:t>3. Forecast and Valuation Audit</w:t>
      </w:r>
    </w:p>
    <w:p>
      <w:r>
        <w:t>The baseline forecasting logic is not a statistical forecasting model. It applies the same 5%/6%/4% revenue-growth sequence to each company. More seriously, the reported '+1.0% annual margin improvement' does not map consistently into forecast EBITDA margins.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Ticker</w:t>
            </w:r>
          </w:p>
        </w:tc>
        <w:tc>
          <w:tcPr>
            <w:tcW w:type="dxa" w:w="2016"/>
          </w:tcPr>
          <w:p>
            <w:r>
              <w:t>Latest actual EBITDA margin</w:t>
            </w:r>
          </w:p>
        </w:tc>
        <w:tc>
          <w:tcPr>
            <w:tcW w:type="dxa" w:w="2016"/>
          </w:tcPr>
          <w:p>
            <w:r>
              <w:t>First forecast margin</w:t>
            </w:r>
          </w:p>
        </w:tc>
        <w:tc>
          <w:tcPr>
            <w:tcW w:type="dxa" w:w="2016"/>
          </w:tcPr>
          <w:p>
            <w:r>
              <w:t>Change</w:t>
            </w:r>
          </w:p>
        </w:tc>
        <w:tc>
          <w:tcPr>
            <w:tcW w:type="dxa" w:w="2016"/>
          </w:tcPr>
          <w:p>
            <w:r>
              <w:t>Finding</w:t>
            </w:r>
          </w:p>
        </w:tc>
      </w:tr>
      <w:tr>
        <w:tc>
          <w:tcPr>
            <w:tcW w:type="dxa" w:w="2016"/>
          </w:tcPr>
          <w:p>
            <w:r>
              <w:t>NVDA</w:t>
            </w:r>
          </w:p>
        </w:tc>
        <w:tc>
          <w:tcPr>
            <w:tcW w:type="dxa" w:w="2016"/>
          </w:tcPr>
          <w:p>
            <w:r>
              <w:t>66.9%</w:t>
            </w:r>
          </w:p>
        </w:tc>
        <w:tc>
          <w:tcPr>
            <w:tcW w:type="dxa" w:w="2016"/>
          </w:tcPr>
          <w:p>
            <w:r>
              <w:t>70.5%</w:t>
            </w:r>
          </w:p>
        </w:tc>
        <w:tc>
          <w:tcPr>
            <w:tcW w:type="dxa" w:w="2016"/>
          </w:tcPr>
          <w:p>
            <w:r>
              <w:t>+3.6pp</w:t>
            </w:r>
          </w:p>
        </w:tc>
        <w:tc>
          <w:tcPr>
            <w:tcW w:type="dxa" w:w="2016"/>
          </w:tcPr>
          <w:p>
            <w:r>
              <w:t>Does not consistently equal +1.0pp</w:t>
            </w:r>
          </w:p>
        </w:tc>
      </w:tr>
      <w:tr>
        <w:tc>
          <w:tcPr>
            <w:tcW w:type="dxa" w:w="2016"/>
          </w:tcPr>
          <w:p>
            <w:r>
              <w:t>AMD</w:t>
            </w:r>
          </w:p>
        </w:tc>
        <w:tc>
          <w:tcPr>
            <w:tcW w:type="dxa" w:w="2016"/>
          </w:tcPr>
          <w:p>
            <w:r>
              <w:t>21.0%</w:t>
            </w:r>
          </w:p>
        </w:tc>
        <w:tc>
          <w:tcPr>
            <w:tcW w:type="dxa" w:w="2016"/>
          </w:tcPr>
          <w:p>
            <w:r>
              <w:t>39.0%</w:t>
            </w:r>
          </w:p>
        </w:tc>
        <w:tc>
          <w:tcPr>
            <w:tcW w:type="dxa" w:w="2016"/>
          </w:tcPr>
          <w:p>
            <w:r>
              <w:t>+18.0pp</w:t>
            </w:r>
          </w:p>
        </w:tc>
        <w:tc>
          <w:tcPr>
            <w:tcW w:type="dxa" w:w="2016"/>
          </w:tcPr>
          <w:p>
            <w:r>
              <w:t>Does not consistently equal +1.0pp</w:t>
            </w:r>
          </w:p>
        </w:tc>
      </w:tr>
      <w:tr>
        <w:tc>
          <w:tcPr>
            <w:tcW w:type="dxa" w:w="2016"/>
          </w:tcPr>
          <w:p>
            <w:r>
              <w:t>INTC</w:t>
            </w:r>
          </w:p>
        </w:tc>
        <w:tc>
          <w:tcPr>
            <w:tcW w:type="dxa" w:w="2016"/>
          </w:tcPr>
          <w:p>
            <w:r>
              <w:t>27.2%</w:t>
            </w:r>
          </w:p>
        </w:tc>
        <w:tc>
          <w:tcPr>
            <w:tcW w:type="dxa" w:w="2016"/>
          </w:tcPr>
          <w:p>
            <w:r>
              <w:t>27.6%</w:t>
            </w:r>
          </w:p>
        </w:tc>
        <w:tc>
          <w:tcPr>
            <w:tcW w:type="dxa" w:w="2016"/>
          </w:tcPr>
          <w:p>
            <w:r>
              <w:t>+0.4pp</w:t>
            </w:r>
          </w:p>
        </w:tc>
        <w:tc>
          <w:tcPr>
            <w:tcW w:type="dxa" w:w="2016"/>
          </w:tcPr>
          <w:p>
            <w:r>
              <w:t>Does not consistently equal +1.0pp</w:t>
            </w:r>
          </w:p>
        </w:tc>
      </w:tr>
      <w:tr>
        <w:tc>
          <w:tcPr>
            <w:tcW w:type="dxa" w:w="2016"/>
          </w:tcPr>
          <w:p>
            <w:r>
              <w:t>AAPL</w:t>
            </w:r>
          </w:p>
        </w:tc>
        <w:tc>
          <w:tcPr>
            <w:tcW w:type="dxa" w:w="2016"/>
          </w:tcPr>
          <w:p>
            <w:r>
              <w:t>34.7%</w:t>
            </w:r>
          </w:p>
        </w:tc>
        <w:tc>
          <w:tcPr>
            <w:tcW w:type="dxa" w:w="2016"/>
          </w:tcPr>
          <w:p>
            <w:r>
              <w:t>41.8%</w:t>
            </w:r>
          </w:p>
        </w:tc>
        <w:tc>
          <w:tcPr>
            <w:tcW w:type="dxa" w:w="2016"/>
          </w:tcPr>
          <w:p>
            <w:r>
              <w:t>+7.1pp</w:t>
            </w:r>
          </w:p>
        </w:tc>
        <w:tc>
          <w:tcPr>
            <w:tcW w:type="dxa" w:w="2016"/>
          </w:tcPr>
          <w:p>
            <w:r>
              <w:t>Does not consistently equal +1.0pp</w:t>
            </w:r>
          </w:p>
        </w:tc>
      </w:tr>
      <w:tr>
        <w:tc>
          <w:tcPr>
            <w:tcW w:type="dxa" w:w="2016"/>
          </w:tcPr>
          <w:p>
            <w:r>
              <w:t>MSFT</w:t>
            </w:r>
          </w:p>
        </w:tc>
        <w:tc>
          <w:tcPr>
            <w:tcW w:type="dxa" w:w="2016"/>
          </w:tcPr>
          <w:p>
            <w:r>
              <w:t>62.5%</w:t>
            </w:r>
          </w:p>
        </w:tc>
        <w:tc>
          <w:tcPr>
            <w:tcW w:type="dxa" w:w="2016"/>
          </w:tcPr>
          <w:p>
            <w:r>
              <w:t>59.0%</w:t>
            </w:r>
          </w:p>
        </w:tc>
        <w:tc>
          <w:tcPr>
            <w:tcW w:type="dxa" w:w="2016"/>
          </w:tcPr>
          <w:p>
            <w:r>
              <w:t>-3.5pp</w:t>
            </w:r>
          </w:p>
        </w:tc>
        <w:tc>
          <w:tcPr>
            <w:tcW w:type="dxa" w:w="2016"/>
          </w:tcPr>
          <w:p>
            <w:r>
              <w:t>Does not consistently equal +1.0pp</w:t>
            </w:r>
          </w:p>
        </w:tc>
      </w:tr>
    </w:tbl>
    <w:p>
      <w:r>
        <w:t>This matters because forecast EBITDA feeds EV/EBITDA and peer valuation. AMD is the clearest example: its EBITDA margin jumps from 21.0% actual to 39.0% forecast despite the printed +1.0pp assumption.</w:t>
      </w:r>
    </w:p>
    <w:p>
      <w:pPr>
        <w:pStyle w:val="Heading1"/>
      </w:pPr>
      <w:r>
        <w:t>4. Grounding Audit</w:t>
      </w:r>
    </w:p>
    <w:p>
      <w:r>
        <w:t>For NVDA, AAPL and MSFT I extracted factual/quantitative claims from all eight agent sections and classified them against the common evidence base (financial metrics, peer tables and saved recent news). Supported means directly derivable; Unsupported means plausible but not established; Contradicted means the supplied evidence says otherwise.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Section</w:t>
            </w:r>
          </w:p>
        </w:tc>
        <w:tc>
          <w:tcPr>
            <w:tcW w:type="dxa" w:w="1680"/>
          </w:tcPr>
          <w:p>
            <w:r>
              <w:t>Supported</w:t>
            </w:r>
          </w:p>
        </w:tc>
        <w:tc>
          <w:tcPr>
            <w:tcW w:type="dxa" w:w="1680"/>
          </w:tcPr>
          <w:p>
            <w:r>
              <w:t>Unsupported</w:t>
            </w:r>
          </w:p>
        </w:tc>
        <w:tc>
          <w:tcPr>
            <w:tcW w:type="dxa" w:w="1680"/>
          </w:tcPr>
          <w:p>
            <w:r>
              <w:t>Contradicted</w:t>
            </w:r>
          </w:p>
        </w:tc>
        <w:tc>
          <w:tcPr>
            <w:tcW w:type="dxa" w:w="1680"/>
          </w:tcPr>
          <w:p>
            <w:r>
              <w:t>Total</w:t>
            </w:r>
          </w:p>
        </w:tc>
        <w:tc>
          <w:tcPr>
            <w:tcW w:type="dxa" w:w="1680"/>
          </w:tcPr>
          <w:p>
            <w:r>
              <w:t>Grounding rate</w:t>
            </w:r>
          </w:p>
        </w:tc>
      </w:tr>
      <w:tr>
        <w:tc>
          <w:tcPr>
            <w:tcW w:type="dxa" w:w="1680"/>
          </w:tcPr>
          <w:p>
            <w:r>
              <w:t>tagline</w:t>
            </w:r>
          </w:p>
        </w:tc>
        <w:tc>
          <w:tcPr>
            <w:tcW w:type="dxa" w:w="1680"/>
          </w:tcPr>
          <w:p>
            <w:r>
              <w:t>8</w:t>
            </w:r>
          </w:p>
        </w:tc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0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80.0%</w:t>
            </w:r>
          </w:p>
        </w:tc>
      </w:tr>
      <w:tr>
        <w:tc>
          <w:tcPr>
            <w:tcW w:type="dxa" w:w="1680"/>
          </w:tcPr>
          <w:p>
            <w:r>
              <w:t>company_overview</w:t>
            </w:r>
          </w:p>
        </w:tc>
        <w:tc>
          <w:tcPr>
            <w:tcW w:type="dxa" w:w="1680"/>
          </w:tcPr>
          <w:p>
            <w:r>
              <w:t>13</w:t>
            </w:r>
          </w:p>
        </w:tc>
        <w:tc>
          <w:tcPr>
            <w:tcW w:type="dxa" w:w="1680"/>
          </w:tcPr>
          <w:p>
            <w:r>
              <w:t>44</w:t>
            </w:r>
          </w:p>
        </w:tc>
        <w:tc>
          <w:tcPr>
            <w:tcW w:type="dxa" w:w="1680"/>
          </w:tcPr>
          <w:p>
            <w:r>
              <w:t>0</w:t>
            </w:r>
          </w:p>
        </w:tc>
        <w:tc>
          <w:tcPr>
            <w:tcW w:type="dxa" w:w="1680"/>
          </w:tcPr>
          <w:p>
            <w:r>
              <w:t>57</w:t>
            </w:r>
          </w:p>
        </w:tc>
        <w:tc>
          <w:tcPr>
            <w:tcW w:type="dxa" w:w="1680"/>
          </w:tcPr>
          <w:p>
            <w:r>
              <w:t>22.8%</w:t>
            </w:r>
          </w:p>
        </w:tc>
      </w:tr>
      <w:tr>
        <w:tc>
          <w:tcPr>
            <w:tcW w:type="dxa" w:w="1680"/>
          </w:tcPr>
          <w:p>
            <w:r>
              <w:t>investment_overview</w:t>
            </w:r>
          </w:p>
        </w:tc>
        <w:tc>
          <w:tcPr>
            <w:tcW w:type="dxa" w:w="1680"/>
          </w:tcPr>
          <w:p>
            <w:r>
              <w:t>30</w:t>
            </w:r>
          </w:p>
        </w:tc>
        <w:tc>
          <w:tcPr>
            <w:tcW w:type="dxa" w:w="1680"/>
          </w:tcPr>
          <w:p>
            <w:r>
              <w:t>15</w:t>
            </w:r>
          </w:p>
        </w:tc>
        <w:tc>
          <w:tcPr>
            <w:tcW w:type="dxa" w:w="1680"/>
          </w:tcPr>
          <w:p>
            <w:r>
              <w:t>0</w:t>
            </w:r>
          </w:p>
        </w:tc>
        <w:tc>
          <w:tcPr>
            <w:tcW w:type="dxa" w:w="1680"/>
          </w:tcPr>
          <w:p>
            <w:r>
              <w:t>45</w:t>
            </w:r>
          </w:p>
        </w:tc>
        <w:tc>
          <w:tcPr>
            <w:tcW w:type="dxa" w:w="1680"/>
          </w:tcPr>
          <w:p>
            <w:r>
              <w:t>66.7%</w:t>
            </w:r>
          </w:p>
        </w:tc>
      </w:tr>
      <w:tr>
        <w:tc>
          <w:tcPr>
            <w:tcW w:type="dxa" w:w="1680"/>
          </w:tcPr>
          <w:p>
            <w:r>
              <w:t>valuation_overview</w:t>
            </w:r>
          </w:p>
        </w:tc>
        <w:tc>
          <w:tcPr>
            <w:tcW w:type="dxa" w:w="1680"/>
          </w:tcPr>
          <w:p>
            <w:r>
              <w:t>26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38</w:t>
            </w:r>
          </w:p>
        </w:tc>
        <w:tc>
          <w:tcPr>
            <w:tcW w:type="dxa" w:w="1680"/>
          </w:tcPr>
          <w:p>
            <w:r>
              <w:t>68.4%</w:t>
            </w:r>
          </w:p>
        </w:tc>
      </w:tr>
      <w:tr>
        <w:tc>
          <w:tcPr>
            <w:tcW w:type="dxa" w:w="1680"/>
          </w:tcPr>
          <w:p>
            <w:r>
              <w:t>risks</w:t>
            </w:r>
          </w:p>
        </w:tc>
        <w:tc>
          <w:tcPr>
            <w:tcW w:type="dxa" w:w="1680"/>
          </w:tcPr>
          <w:p>
            <w:r>
              <w:t>9</w:t>
            </w:r>
          </w:p>
        </w:tc>
        <w:tc>
          <w:tcPr>
            <w:tcW w:type="dxa" w:w="1680"/>
          </w:tcPr>
          <w:p>
            <w:r>
              <w:t>7</w:t>
            </w:r>
          </w:p>
        </w:tc>
        <w:tc>
          <w:tcPr>
            <w:tcW w:type="dxa" w:w="1680"/>
          </w:tcPr>
          <w:p>
            <w:r>
              <w:t>0</w:t>
            </w:r>
          </w:p>
        </w:tc>
        <w:tc>
          <w:tcPr>
            <w:tcW w:type="dxa" w:w="1680"/>
          </w:tcPr>
          <w:p>
            <w:r>
              <w:t>16</w:t>
            </w:r>
          </w:p>
        </w:tc>
        <w:tc>
          <w:tcPr>
            <w:tcW w:type="dxa" w:w="1680"/>
          </w:tcPr>
          <w:p>
            <w:r>
              <w:t>56.2%</w:t>
            </w:r>
          </w:p>
        </w:tc>
      </w:tr>
      <w:tr>
        <w:tc>
          <w:tcPr>
            <w:tcW w:type="dxa" w:w="1680"/>
          </w:tcPr>
          <w:p>
            <w:r>
              <w:t>competitor_analysis</w:t>
            </w:r>
          </w:p>
        </w:tc>
        <w:tc>
          <w:tcPr>
            <w:tcW w:type="dxa" w:w="1680"/>
          </w:tcPr>
          <w:p>
            <w:r>
              <w:t>21</w:t>
            </w:r>
          </w:p>
        </w:tc>
        <w:tc>
          <w:tcPr>
            <w:tcW w:type="dxa" w:w="1680"/>
          </w:tcPr>
          <w:p>
            <w:r>
              <w:t>15</w:t>
            </w:r>
          </w:p>
        </w:tc>
        <w:tc>
          <w:tcPr>
            <w:tcW w:type="dxa" w:w="1680"/>
          </w:tcPr>
          <w:p>
            <w:r>
              <w:t>0</w:t>
            </w:r>
          </w:p>
        </w:tc>
        <w:tc>
          <w:tcPr>
            <w:tcW w:type="dxa" w:w="1680"/>
          </w:tcPr>
          <w:p>
            <w:r>
              <w:t>36</w:t>
            </w:r>
          </w:p>
        </w:tc>
        <w:tc>
          <w:tcPr>
            <w:tcW w:type="dxa" w:w="1680"/>
          </w:tcPr>
          <w:p>
            <w:r>
              <w:t>58.3%</w:t>
            </w:r>
          </w:p>
        </w:tc>
      </w:tr>
      <w:tr>
        <w:tc>
          <w:tcPr>
            <w:tcW w:type="dxa" w:w="1680"/>
          </w:tcPr>
          <w:p>
            <w:r>
              <w:t>major_takeaways</w:t>
            </w:r>
          </w:p>
        </w:tc>
        <w:tc>
          <w:tcPr>
            <w:tcW w:type="dxa" w:w="1680"/>
          </w:tcPr>
          <w:p>
            <w:r>
              <w:t>19</w:t>
            </w:r>
          </w:p>
        </w:tc>
        <w:tc>
          <w:tcPr>
            <w:tcW w:type="dxa" w:w="1680"/>
          </w:tcPr>
          <w:p>
            <w:r>
              <w:t>0</w:t>
            </w:r>
          </w:p>
        </w:tc>
        <w:tc>
          <w:tcPr>
            <w:tcW w:type="dxa" w:w="1680"/>
          </w:tcPr>
          <w:p>
            <w:r>
              <w:t>0</w:t>
            </w:r>
          </w:p>
        </w:tc>
        <w:tc>
          <w:tcPr>
            <w:tcW w:type="dxa" w:w="1680"/>
          </w:tcPr>
          <w:p>
            <w:r>
              <w:t>19</w:t>
            </w:r>
          </w:p>
        </w:tc>
        <w:tc>
          <w:tcPr>
            <w:tcW w:type="dxa" w:w="1680"/>
          </w:tcPr>
          <w:p>
            <w:r>
              <w:t>100.0%</w:t>
            </w:r>
          </w:p>
        </w:tc>
      </w:tr>
      <w:tr>
        <w:tc>
          <w:tcPr>
            <w:tcW w:type="dxa" w:w="1680"/>
          </w:tcPr>
          <w:p>
            <w:r>
              <w:t>news_summary</w:t>
            </w:r>
          </w:p>
        </w:tc>
        <w:tc>
          <w:tcPr>
            <w:tcW w:type="dxa" w:w="1680"/>
          </w:tcPr>
          <w:p>
            <w:r>
              <w:t>16</w:t>
            </w:r>
          </w:p>
        </w:tc>
        <w:tc>
          <w:tcPr>
            <w:tcW w:type="dxa" w:w="1680"/>
          </w:tcPr>
          <w:p>
            <w:r>
              <w:t>24</w:t>
            </w:r>
          </w:p>
        </w:tc>
        <w:tc>
          <w:tcPr>
            <w:tcW w:type="dxa" w:w="1680"/>
          </w:tcPr>
          <w:p>
            <w:r>
              <w:t>0</w:t>
            </w:r>
          </w:p>
        </w:tc>
        <w:tc>
          <w:tcPr>
            <w:tcW w:type="dxa" w:w="1680"/>
          </w:tcPr>
          <w:p>
            <w:r>
              <w:t>40</w:t>
            </w:r>
          </w:p>
        </w:tc>
        <w:tc>
          <w:tcPr>
            <w:tcW w:type="dxa" w:w="1680"/>
          </w:tcPr>
          <w:p>
            <w:r>
              <w:t>40.0%</w:t>
            </w:r>
          </w:p>
        </w:tc>
      </w:tr>
    </w:tbl>
    <w:p>
      <w:r>
        <w:t>Overall grounding rate: 142/261 = 54.4%. Major Takeaways performs best because it mostly restates supplied financial numbers. Company Overview performs worst because the shared prompt does not contain a full business profile, yet the agent introduces products, segments, partnerships and market-position claims. News Summary also contains unsupported synthesis when it moves beyond the saved headlines into causal explanations.</w:t>
      </w:r>
    </w:p>
    <w:p>
      <w:r>
        <w:t>Two direct contradictions were identified in the valuation narrative: NVIDIA was described as remaining above AMD on EV/EBITDA even though NVDA 2025A (33.78x) was below AMD (47.85x); Microsoft's 2026A EV/EBITDA (13.87x) was described as closely aligned with Cisco's 23.66x.</w:t>
      </w:r>
    </w:p>
    <w:p>
      <w:pPr>
        <w:pStyle w:val="Heading1"/>
      </w:pPr>
      <w:r>
        <w:t>5. Stability Test</w:t>
      </w:r>
    </w:p>
    <w:p>
      <w:r>
        <w:t>Three nominally identical NVDA runs were preserved. The top-three risk headings were identical in all runs, so the narrative risk ranking was stable in this sample. However, Runs 2 and 3 hit FMP HTTP 429 limits on the live market-data endpoints; rating became N/A and target/valuation fields fell to zero. Raw target-price population variance including those zero sentinels is 25,563.6. A valid-value variance cannot be estimated because only Run 1 had a valid live target. This is an important reproducibility failure: external API availability is not controlled, and failure values are not cleanly separated from economic zeros.</w:t>
      </w:r>
    </w:p>
    <w:p>
      <w:pPr>
        <w:pStyle w:val="Heading1"/>
      </w:pPr>
      <w:r>
        <w:t>6. Improvement: A More Auditable Valuation Engine</w:t>
      </w:r>
    </w:p>
    <w:p>
      <w:r>
        <w:t>I chose Part 3 option C (a real valuation). The upstream engine used several shortcuts: a 12x EV/EBITDA fallback when the historical-multiple column did not match, synthetic net debt equal to 10% of enterprise value, FCF approximated as 60% of EBITDA, 10% growth for years 1-5 and 5% for years 6-10, and a peer-data interface that returned zero when given the report pipeline's DataFrame. The modified engine uses actual cash flow, actual debt minus cash, first-forecast-year EBITDA, historical median EV/EBITDA, a common peer fiscal year, explicit 10% WACC and 2.5% terminal growth, and equal weights across valid methods.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Ticker</w:t>
            </w:r>
          </w:p>
        </w:tc>
        <w:tc>
          <w:tcPr>
            <w:tcW w:type="dxa" w:w="2016"/>
          </w:tcPr>
          <w:p>
            <w:r>
              <w:t>Upstream reconstructed target</w:t>
            </w:r>
          </w:p>
        </w:tc>
        <w:tc>
          <w:tcPr>
            <w:tcW w:type="dxa" w:w="2016"/>
          </w:tcPr>
          <w:p>
            <w:r>
              <w:t>Modified target</w:t>
            </w:r>
          </w:p>
        </w:tc>
        <w:tc>
          <w:tcPr>
            <w:tcW w:type="dxa" w:w="2016"/>
          </w:tcPr>
          <w:p>
            <w:r>
              <w:t>Change</w:t>
            </w:r>
          </w:p>
        </w:tc>
        <w:tc>
          <w:tcPr>
            <w:tcW w:type="dxa" w:w="2016"/>
          </w:tcPr>
          <w:p>
            <w:r>
              <w:t>Modified methods</w:t>
            </w:r>
          </w:p>
        </w:tc>
      </w:tr>
      <w:tr>
        <w:tc>
          <w:tcPr>
            <w:tcW w:type="dxa" w:w="2016"/>
          </w:tcPr>
          <w:p>
            <w:r>
              <w:t>NVDA</w:t>
            </w:r>
          </w:p>
        </w:tc>
        <w:tc>
          <w:tcPr>
            <w:tcW w:type="dxa" w:w="2016"/>
          </w:tcPr>
          <w:p>
            <w:r>
              <w:t>$82.49</w:t>
            </w:r>
          </w:p>
        </w:tc>
        <w:tc>
          <w:tcPr>
            <w:tcW w:type="dxa" w:w="2016"/>
          </w:tcPr>
          <w:p>
            <w:r>
              <w:t>$184.52</w:t>
            </w:r>
          </w:p>
        </w:tc>
        <w:tc>
          <w:tcPr>
            <w:tcW w:type="dxa" w:w="2016"/>
          </w:tcPr>
          <w:p>
            <w:r>
              <w:t>$+102.03</w:t>
            </w:r>
          </w:p>
        </w:tc>
        <w:tc>
          <w:tcPr>
            <w:tcW w:type="dxa" w:w="2016"/>
          </w:tcPr>
          <w:p>
            <w:r>
              <w:t>EV + DCF + Peer</w:t>
            </w:r>
          </w:p>
        </w:tc>
      </w:tr>
      <w:tr>
        <w:tc>
          <w:tcPr>
            <w:tcW w:type="dxa" w:w="2016"/>
          </w:tcPr>
          <w:p>
            <w:r>
              <w:t>AMD</w:t>
            </w:r>
          </w:p>
        </w:tc>
        <w:tc>
          <w:tcPr>
            <w:tcW w:type="dxa" w:w="2016"/>
          </w:tcPr>
          <w:p>
            <w:r>
              <w:t>$111.97</w:t>
            </w:r>
          </w:p>
        </w:tc>
        <w:tc>
          <w:tcPr>
            <w:tcW w:type="dxa" w:w="2016"/>
          </w:tcPr>
          <w:p>
            <w:r>
              <w:t>$204.46</w:t>
            </w:r>
          </w:p>
        </w:tc>
        <w:tc>
          <w:tcPr>
            <w:tcW w:type="dxa" w:w="2016"/>
          </w:tcPr>
          <w:p>
            <w:r>
              <w:t>$+92.49</w:t>
            </w:r>
          </w:p>
        </w:tc>
        <w:tc>
          <w:tcPr>
            <w:tcW w:type="dxa" w:w="2016"/>
          </w:tcPr>
          <w:p>
            <w:r>
              <w:t>EV + DCF + Peer</w:t>
            </w:r>
          </w:p>
        </w:tc>
      </w:tr>
      <w:tr>
        <w:tc>
          <w:tcPr>
            <w:tcW w:type="dxa" w:w="2016"/>
          </w:tcPr>
          <w:p>
            <w:r>
              <w:t>INTC</w:t>
            </w:r>
          </w:p>
        </w:tc>
        <w:tc>
          <w:tcPr>
            <w:tcW w:type="dxa" w:w="2016"/>
          </w:tcPr>
          <w:p>
            <w:r>
              <w:t>$40.24</w:t>
            </w:r>
          </w:p>
        </w:tc>
        <w:tc>
          <w:tcPr>
            <w:tcW w:type="dxa" w:w="2016"/>
          </w:tcPr>
          <w:p>
            <w:r>
              <w:t>$77.57</w:t>
            </w:r>
          </w:p>
        </w:tc>
        <w:tc>
          <w:tcPr>
            <w:tcW w:type="dxa" w:w="2016"/>
          </w:tcPr>
          <w:p>
            <w:r>
              <w:t>$+37.33</w:t>
            </w:r>
          </w:p>
        </w:tc>
        <w:tc>
          <w:tcPr>
            <w:tcW w:type="dxa" w:w="2016"/>
          </w:tcPr>
          <w:p>
            <w:r>
              <w:t>EV + Peer</w:t>
            </w:r>
          </w:p>
        </w:tc>
      </w:tr>
      <w:tr>
        <w:tc>
          <w:tcPr>
            <w:tcW w:type="dxa" w:w="2016"/>
          </w:tcPr>
          <w:p>
            <w:r>
              <w:t>AAPL</w:t>
            </w:r>
          </w:p>
        </w:tc>
        <w:tc>
          <w:tcPr>
            <w:tcW w:type="dxa" w:w="2016"/>
          </w:tcPr>
          <w:p>
            <w:r>
              <w:t>$159.31</w:t>
            </w:r>
          </w:p>
        </w:tc>
        <w:tc>
          <w:tcPr>
            <w:tcW w:type="dxa" w:w="2016"/>
          </w:tcPr>
          <w:p>
            <w:r>
              <w:t>$198.09</w:t>
            </w:r>
          </w:p>
        </w:tc>
        <w:tc>
          <w:tcPr>
            <w:tcW w:type="dxa" w:w="2016"/>
          </w:tcPr>
          <w:p>
            <w:r>
              <w:t>$+38.78</w:t>
            </w:r>
          </w:p>
        </w:tc>
        <w:tc>
          <w:tcPr>
            <w:tcW w:type="dxa" w:w="2016"/>
          </w:tcPr>
          <w:p>
            <w:r>
              <w:t>EV + DCF + Peer</w:t>
            </w:r>
          </w:p>
        </w:tc>
      </w:tr>
      <w:tr>
        <w:tc>
          <w:tcPr>
            <w:tcW w:type="dxa" w:w="2016"/>
          </w:tcPr>
          <w:p>
            <w:r>
              <w:t>MSFT</w:t>
            </w:r>
          </w:p>
        </w:tc>
        <w:tc>
          <w:tcPr>
            <w:tcW w:type="dxa" w:w="2016"/>
          </w:tcPr>
          <w:p>
            <w:r>
              <w:t>$347.73</w:t>
            </w:r>
          </w:p>
        </w:tc>
        <w:tc>
          <w:tcPr>
            <w:tcW w:type="dxa" w:w="2016"/>
          </w:tcPr>
          <w:p>
            <w:r>
              <w:t>$471.33</w:t>
            </w:r>
          </w:p>
        </w:tc>
        <w:tc>
          <w:tcPr>
            <w:tcW w:type="dxa" w:w="2016"/>
          </w:tcPr>
          <w:p>
            <w:r>
              <w:t>$+123.60</w:t>
            </w:r>
          </w:p>
        </w:tc>
        <w:tc>
          <w:tcPr>
            <w:tcW w:type="dxa" w:w="2016"/>
          </w:tcPr>
          <w:p>
            <w:r>
              <w:t>EV + DCF + Peer</w:t>
            </w:r>
          </w:p>
        </w:tc>
      </w:tr>
    </w:tbl>
    <w:p>
      <w:pPr>
        <w:pStyle w:val="Heading1"/>
      </w:pPr>
      <w:r>
        <w:t>7. Independent NVDA Valuation Reproduction</w:t>
      </w:r>
    </w:p>
    <w:p>
      <w:r>
        <w:t>The accompanying workbook `improvement/valuation_reproduction.xlsx` reproduces the modified NVIDIA DCF and EV/EBITDA logic from saved inputs. The DCF uses 2024-2026 actual FCF margins of 44.35%, 46.63% and 44.77%, for a normalized margin of 45.25%. Near-term FCF is forecast revenue multiplied by this normalized margin; years 4-5 grow 3%, years 6-10 grow 2.5%, WACC is 10%, terminal growth is 2.5%, and actual net debt is $0.807B. The engine's DCF target is $59.62 per share.</w:t>
      </w:r>
    </w:p>
    <w:p>
      <w:r>
        <w:t>The wide disagreement across methods is economically meaningful: NVIDIA's historical-multiple method is $287.61, peer method $206.32, and DCF $59.62. The multiple methods capitalize near-term EBITDA at market multiples, while the DCF is constrained by normalized FCF conversion and a 10% discount rate. Therefore the synthesized $184.52 should be read as a model-combination output, not a statistical confidence estimate.</w:t>
      </w:r>
    </w:p>
    <w:p>
      <w:pPr>
        <w:pStyle w:val="Heading1"/>
      </w:pPr>
      <w:r>
        <w:t>8. Sensitivity</w:t>
      </w:r>
    </w:p>
    <w:p>
      <w:r>
        <w:t>The saved sensitivity analyzer moves revenue growth by -5.0 to +5.0 percentage points and EBITDA margin by -2.0 to +2.0 points. For NVIDIA, the 2029E combined EBITDA scenarios range from about $169.8B to $198.1B. To connect sensitivity to fair value, `audits/nvda_valuation_sensitivity.csv` applies the modified EV/EBITDA method to the first forecast year across the same growth/margin deltas. This makes the valuation consequence of forecast assumptions directly inspectable.</w:t>
      </w:r>
    </w:p>
    <w:p>
      <w:pPr>
        <w:pStyle w:val="Heading1"/>
      </w:pPr>
      <w:r>
        <w:t>9. Judgment and Remaining Limitations</w:t>
      </w:r>
    </w:p>
    <w:p>
      <w:r>
        <w:t>I would not hand the unreviewed report directly to a portfolio manager. Filing-derived financial tables are close to decision-grade after terminology cleanup and source labeling. The refactored valuation layer is auditable but still depends on simplistic forecast assumptions and, for AAPL/MSFT, imperfect peer comparability. The narrative layer is a draft-writing aid rather than a verified research product at a 54.4% grounding rate.</w:t>
      </w:r>
    </w:p>
    <w:p>
      <w:r>
        <w:t>Remaining work should include: replacing hard-coded forecasts with a backtested forecasting model; caching and versioning all market data; treating API errors as missing values rather than zeros; adding a verifier agent; renaming Contribution Profit to Gross Profit; normalizing displayed method weights; and separating analyst consensus targets from model-derived targets.</w:t>
      </w:r>
    </w:p>
    <w:p>
      <w:pPr>
        <w:pStyle w:val="Heading1"/>
      </w:pPr>
      <w:r>
        <w:t>References</w:t>
      </w:r>
    </w:p>
    <w:p>
      <w:r>
        <w:t>Apple Inc. 2025 Form 10-K: https://www.sec.gov/Archives/edgar/data/320193/000032019325000079/aapl-20250927.htm</w:t>
      </w:r>
    </w:p>
    <w:p>
      <w:r>
        <w:t>Microsoft Corp. 2026 Form 10-K: https://www.sec.gov/Archives/edgar/data/789019/000119312526323660/msft-20260630.htm</w:t>
      </w:r>
    </w:p>
    <w:p>
      <w:r>
        <w:t>FinRobot upstream valuation engine: https://github.com/AI4Finance-Foundation/FinRobot/blob/master/finrobot_equity/core/src/modules/valuation_engine.py</w:t>
      </w:r>
    </w:p>
    <w:p>
      <w:r>
        <w:t>Course assignment: https://github.com/AI4Finance-Foundation/STAT-GR5398-Columbia-University/tree/master/Fall-2026/Assignment1/FinRobot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