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66EA" w14:textId="58845A95" w:rsidR="00D54F50" w:rsidRPr="003E065B" w:rsidRDefault="00D54F50" w:rsidP="00C2383E">
      <w:pPr>
        <w:jc w:val="center"/>
        <w:rPr>
          <w:rFonts w:hint="eastAsia"/>
          <w:b/>
          <w:bCs/>
          <w:sz w:val="24"/>
          <w:szCs w:val="28"/>
        </w:rPr>
      </w:pPr>
      <w:r w:rsidRPr="003E065B">
        <w:rPr>
          <w:b/>
          <w:bCs/>
          <w:sz w:val="24"/>
          <w:szCs w:val="28"/>
        </w:rPr>
        <w:t>[HW</w:t>
      </w:r>
      <w:r w:rsidR="00DA3456">
        <w:rPr>
          <w:rFonts w:hint="eastAsia"/>
          <w:b/>
          <w:bCs/>
          <w:sz w:val="24"/>
          <w:szCs w:val="28"/>
        </w:rPr>
        <w:t>7</w:t>
      </w:r>
      <w:r w:rsidRPr="003E065B">
        <w:rPr>
          <w:b/>
          <w:bCs/>
          <w:sz w:val="24"/>
          <w:szCs w:val="28"/>
        </w:rPr>
        <w:t xml:space="preserve">] </w:t>
      </w:r>
      <w:r w:rsidR="00067793">
        <w:rPr>
          <w:rFonts w:hint="eastAsia"/>
          <w:b/>
          <w:bCs/>
          <w:sz w:val="24"/>
          <w:szCs w:val="28"/>
        </w:rPr>
        <w:t>Introduction</w:t>
      </w:r>
      <w:r w:rsidR="007B3519">
        <w:rPr>
          <w:rFonts w:hint="eastAsia"/>
          <w:b/>
          <w:bCs/>
          <w:sz w:val="24"/>
          <w:szCs w:val="28"/>
        </w:rPr>
        <w:t xml:space="preserve"> with AI Agent</w:t>
      </w:r>
    </w:p>
    <w:p w14:paraId="3711ED75" w14:textId="77777777" w:rsidR="00D54F50" w:rsidRPr="003E065B" w:rsidRDefault="00D54F50" w:rsidP="00C2383E">
      <w:pPr>
        <w:jc w:val="center"/>
        <w:rPr>
          <w:b/>
          <w:bCs/>
          <w:sz w:val="24"/>
          <w:szCs w:val="28"/>
        </w:rPr>
      </w:pPr>
      <w:r w:rsidRPr="003E065B">
        <w:rPr>
          <w:b/>
          <w:bCs/>
          <w:sz w:val="24"/>
          <w:szCs w:val="28"/>
        </w:rPr>
        <w:t>Yujin Yun (2025-23749)</w:t>
      </w:r>
    </w:p>
    <w:p w14:paraId="3782B4FF" w14:textId="77777777" w:rsidR="00B821D2" w:rsidRPr="003E065B" w:rsidRDefault="00B821D2" w:rsidP="00C2383E">
      <w:pPr>
        <w:jc w:val="both"/>
        <w:rPr>
          <w:rFonts w:hint="eastAsia"/>
          <w:b/>
          <w:bCs/>
          <w:sz w:val="24"/>
          <w:szCs w:val="28"/>
        </w:rPr>
      </w:pPr>
    </w:p>
    <w:p w14:paraId="3714671A" w14:textId="22188B58" w:rsidR="004A4068" w:rsidRPr="007B48A3" w:rsidRDefault="00B821D2" w:rsidP="00C2383E">
      <w:pPr>
        <w:jc w:val="both"/>
        <w:rPr>
          <w:b/>
          <w:bCs/>
          <w:sz w:val="24"/>
          <w:szCs w:val="28"/>
        </w:rPr>
      </w:pPr>
      <w:r w:rsidRPr="003E065B">
        <w:rPr>
          <w:b/>
          <w:bCs/>
          <w:sz w:val="24"/>
          <w:szCs w:val="28"/>
        </w:rPr>
        <w:t>I. Introduction</w:t>
      </w:r>
    </w:p>
    <w:p w14:paraId="1A4165A4" w14:textId="722D080C" w:rsidR="00045E1B" w:rsidRDefault="00C2383E" w:rsidP="00C2383E">
      <w:pPr>
        <w:ind w:firstLineChars="100" w:firstLine="240"/>
        <w:jc w:val="both"/>
        <w:rPr>
          <w:sz w:val="24"/>
          <w:szCs w:val="28"/>
        </w:rPr>
      </w:pPr>
      <w:r w:rsidRPr="00C2383E">
        <w:rPr>
          <w:sz w:val="24"/>
          <w:szCs w:val="28"/>
        </w:rPr>
        <w:t>Screen Media Activity (SMA) is a growing public concern, particularly regarding children's screen time. This concern has been intensified by recent policy actions, such as Australia's decision to restrict social media access for individuals under 16 years of age (Ritchie, 2024).</w:t>
      </w:r>
      <w:r>
        <w:rPr>
          <w:rFonts w:hint="eastAsia"/>
          <w:sz w:val="24"/>
          <w:szCs w:val="28"/>
        </w:rPr>
        <w:t xml:space="preserve"> </w:t>
      </w:r>
      <w:r w:rsidRPr="00C2383E">
        <w:rPr>
          <w:sz w:val="24"/>
          <w:szCs w:val="28"/>
        </w:rPr>
        <w:t xml:space="preserve">Concerns exist among parents, educators, and policymakers that </w:t>
      </w:r>
      <w:r w:rsidR="00045E1B" w:rsidRPr="003F3779">
        <w:rPr>
          <w:sz w:val="24"/>
          <w:szCs w:val="28"/>
        </w:rPr>
        <w:t xml:space="preserve">excessive exposure may contribute to mental-health and behavioral problems in childhood. </w:t>
      </w:r>
      <w:r w:rsidRPr="00C2383E">
        <w:rPr>
          <w:sz w:val="24"/>
          <w:szCs w:val="28"/>
        </w:rPr>
        <w:t>While the effects of screen use on cognitive and emotional development are likely modest</w:t>
      </w:r>
      <w:r w:rsidR="00045E1B" w:rsidRPr="003F3779">
        <w:rPr>
          <w:sz w:val="24"/>
          <w:szCs w:val="28"/>
        </w:rPr>
        <w:t xml:space="preserve">, screen use remains an important factor because it is one of the few environmental variables that can be modified through policy, education, and </w:t>
      </w:r>
      <w:r>
        <w:rPr>
          <w:rFonts w:hint="eastAsia"/>
          <w:sz w:val="24"/>
          <w:szCs w:val="28"/>
        </w:rPr>
        <w:t>parenting</w:t>
      </w:r>
      <w:r w:rsidRPr="00C2383E">
        <w:rPr>
          <w:sz w:val="24"/>
          <w:szCs w:val="28"/>
        </w:rPr>
        <w:t>, making it a salient target for intervention.</w:t>
      </w:r>
    </w:p>
    <w:p w14:paraId="03E8E038" w14:textId="3BEBCA20" w:rsidR="00902AE6" w:rsidRDefault="00045E1B" w:rsidP="00C2383E">
      <w:pPr>
        <w:ind w:firstLineChars="100" w:firstLine="240"/>
        <w:jc w:val="both"/>
        <w:rPr>
          <w:sz w:val="24"/>
          <w:szCs w:val="28"/>
        </w:rPr>
      </w:pPr>
      <w:r w:rsidRPr="003F3779">
        <w:rPr>
          <w:sz w:val="24"/>
          <w:szCs w:val="28"/>
        </w:rPr>
        <w:t>Prior work links greater screen time to higher rates of externalizing problems</w:t>
      </w:r>
      <w:r w:rsidR="007D1AFF">
        <w:rPr>
          <w:rFonts w:hint="eastAsia"/>
          <w:sz w:val="24"/>
          <w:szCs w:val="28"/>
        </w:rPr>
        <w:t xml:space="preserve"> in </w:t>
      </w:r>
      <w:r w:rsidRPr="003F3779">
        <w:rPr>
          <w:sz w:val="24"/>
          <w:szCs w:val="28"/>
        </w:rPr>
        <w:t xml:space="preserve">children aged 12 and under (Eirich et al., 2022; Nagata et al., 2023). </w:t>
      </w:r>
      <w:r w:rsidR="00C2383E">
        <w:rPr>
          <w:rFonts w:hint="eastAsia"/>
          <w:sz w:val="24"/>
          <w:szCs w:val="28"/>
        </w:rPr>
        <w:t>On the other hand,</w:t>
      </w:r>
      <w:r w:rsidR="00C2383E" w:rsidRPr="00C2383E">
        <w:rPr>
          <w:sz w:val="24"/>
          <w:szCs w:val="28"/>
        </w:rPr>
        <w:t xml:space="preserve"> observational studies and meta-analyses often find only weak average associations between screen media use and child mental health, with effect size estimates varying across cohorts, ages, and media platforms (Eirich et al., 2022; Eales et al., 2025). The observed dispersion suggests that the underlying population exhibits genuine heterogeneity, potentially reflecting variations in individual characteristics or environmental factors that contribute to the diverse responses. </w:t>
      </w:r>
      <w:r w:rsidR="007D1AFF" w:rsidRPr="007D1AFF">
        <w:rPr>
          <w:sz w:val="24"/>
          <w:szCs w:val="28"/>
        </w:rPr>
        <w:t>This relationship is further moderated by variations in vulnerability and resilience stemming from genetic predispositions, brain maturation, and the influence of the family environment.</w:t>
      </w:r>
    </w:p>
    <w:p w14:paraId="0DF2726A" w14:textId="2A1DEA9E" w:rsidR="007D1AFF" w:rsidRDefault="007D1AFF" w:rsidP="00C2383E">
      <w:pPr>
        <w:ind w:firstLineChars="100" w:firstLine="240"/>
        <w:jc w:val="both"/>
        <w:rPr>
          <w:rFonts w:hint="eastAsia"/>
          <w:sz w:val="24"/>
          <w:szCs w:val="28"/>
        </w:rPr>
      </w:pPr>
      <w:r w:rsidRPr="007D1AFF">
        <w:rPr>
          <w:sz w:val="24"/>
          <w:szCs w:val="28"/>
        </w:rPr>
        <w:t>Current gaps persist because most prior work fails to adequately address the heterogeneity in the SMA-mental health relationship, often relying on methodologies that cannot detect the nonlinear and high-order interactions among key risk and protective factors. Standard linear models fail to detect nonlinear, high-order interactions among correlated risks, requiring more sophisticated analytical approaches.</w:t>
      </w:r>
      <w:r>
        <w:rPr>
          <w:rFonts w:hint="eastAsia"/>
          <w:sz w:val="24"/>
          <w:szCs w:val="28"/>
        </w:rPr>
        <w:t xml:space="preserve"> </w:t>
      </w:r>
      <w:r w:rsidRPr="007D1AFF">
        <w:rPr>
          <w:sz w:val="24"/>
          <w:szCs w:val="28"/>
        </w:rPr>
        <w:t xml:space="preserve">Integrating multimodal </w:t>
      </w:r>
      <w:proofErr w:type="gramStart"/>
      <w:r w:rsidRPr="007D1AFF">
        <w:rPr>
          <w:sz w:val="24"/>
          <w:szCs w:val="28"/>
        </w:rPr>
        <w:t>data—</w:t>
      </w:r>
      <w:proofErr w:type="gramEnd"/>
      <w:r w:rsidRPr="007D1AFF">
        <w:rPr>
          <w:sz w:val="24"/>
          <w:szCs w:val="28"/>
        </w:rPr>
        <w:t xml:space="preserve">including genetic liability, brain metrics, </w:t>
      </w:r>
      <w:r w:rsidRPr="007D1AFF">
        <w:rPr>
          <w:sz w:val="24"/>
          <w:szCs w:val="28"/>
        </w:rPr>
        <w:lastRenderedPageBreak/>
        <w:t>cognition, and family ecology—is essential to fully understand how these factors jointly shape children’s responses to digital media.</w:t>
      </w:r>
    </w:p>
    <w:p w14:paraId="0204E9BC" w14:textId="72EC3D9C" w:rsidR="00C2383E" w:rsidRDefault="00C2383E" w:rsidP="00C2383E">
      <w:pPr>
        <w:ind w:firstLineChars="100" w:firstLine="240"/>
        <w:jc w:val="both"/>
        <w:rPr>
          <w:sz w:val="24"/>
          <w:szCs w:val="28"/>
        </w:rPr>
      </w:pPr>
      <w:r w:rsidRPr="00C2383E">
        <w:rPr>
          <w:sz w:val="24"/>
          <w:szCs w:val="28"/>
        </w:rPr>
        <w:t>To address these limitations, a precision framework is introduced, enabling the estimation of both the average treatment effect (ATE) and the conditional average treatment effect (CATE), thereby providing a more nuanced</w:t>
      </w:r>
      <w:r>
        <w:rPr>
          <w:rFonts w:hint="eastAsia"/>
          <w:sz w:val="24"/>
          <w:szCs w:val="28"/>
        </w:rPr>
        <w:t xml:space="preserve"> </w:t>
      </w:r>
      <w:r w:rsidRPr="00C2383E">
        <w:rPr>
          <w:sz w:val="24"/>
          <w:szCs w:val="28"/>
        </w:rPr>
        <w:t>understanding of treatment efficacy. Generalized random forests (GRF) offer doubly robust estimation through data-adaptive partitioning, facilitating calibrated detection of intricate effect modification and supporting individualized risk profiling within extensive cohorts (Athey et al., 2018).</w:t>
      </w:r>
    </w:p>
    <w:p w14:paraId="69FA0903" w14:textId="2358B1D1" w:rsidR="000E680C" w:rsidRPr="000E680C" w:rsidRDefault="000E680C" w:rsidP="000E680C">
      <w:pPr>
        <w:ind w:firstLineChars="100" w:firstLine="240"/>
        <w:jc w:val="both"/>
        <w:rPr>
          <w:sz w:val="24"/>
          <w:szCs w:val="28"/>
        </w:rPr>
      </w:pPr>
      <w:r w:rsidRPr="000E680C">
        <w:rPr>
          <w:sz w:val="24"/>
          <w:szCs w:val="28"/>
        </w:rPr>
        <w:t>Within this integrated framework, we will test two specific hypotheses using established statistical methods, and we will further explore them via computational modeling to assess the robustness of the findings. These hypotheses address both the average effect and the crucial issue of individual heterogeneity in response to screen media exposure.</w:t>
      </w:r>
      <w:r w:rsidRPr="000E680C">
        <w:rPr>
          <w:rFonts w:hint="eastAsia"/>
          <w:sz w:val="24"/>
          <w:szCs w:val="28"/>
        </w:rPr>
        <w:t xml:space="preserve"> </w:t>
      </w:r>
      <w:r w:rsidRPr="000E680C">
        <w:rPr>
          <w:sz w:val="24"/>
          <w:szCs w:val="28"/>
        </w:rPr>
        <w:t>Our first hypothesis posits that greater baseline screen media use will be associated with increases in Child Behavior Checklist (CBCL) internalizing and externalizing scores (at 1–2 years), independent of baseline symptoms and established confounders.</w:t>
      </w:r>
      <w:r w:rsidRPr="000E680C">
        <w:rPr>
          <w:rFonts w:hint="eastAsia"/>
          <w:sz w:val="24"/>
          <w:szCs w:val="28"/>
        </w:rPr>
        <w:t xml:space="preserve"> </w:t>
      </w:r>
      <w:r w:rsidRPr="000E680C">
        <w:rPr>
          <w:sz w:val="24"/>
          <w:szCs w:val="28"/>
        </w:rPr>
        <w:t>Our second hypothesis, focusing on the Conditional Average Treatment Effect (CATE), predicts that this adverse effect will be significantly amplified among children exhibiting higher pre-existing vulnerability—specifically those with elevated polygenic liability for externalizing problems or negative affect, structural brain markers indicative of reduced cognitive control or emotion regulation capacity, or an adverse family context (e.g., parental psychopathology, family conflict, or socioeconomic stress). Conversely, we expect these adverse effects to attenuate among children characterized by supportive family climates and stronger cognitive control.</w:t>
      </w:r>
    </w:p>
    <w:p w14:paraId="68231F5B" w14:textId="06911AE2" w:rsidR="000E680C" w:rsidRDefault="000E680C" w:rsidP="00C2383E">
      <w:pPr>
        <w:ind w:firstLineChars="100" w:firstLine="240"/>
        <w:jc w:val="both"/>
        <w:rPr>
          <w:sz w:val="24"/>
          <w:szCs w:val="28"/>
        </w:rPr>
      </w:pPr>
      <w:r w:rsidRPr="000E680C">
        <w:rPr>
          <w:sz w:val="24"/>
          <w:szCs w:val="28"/>
        </w:rPr>
        <w:t xml:space="preserve">To test our hypotheses, we leverage the Adolescent Brain Cognitive Development (ABCD) Study cohort. ABCD's large, prospective, multisite design—featuring harmonized assessments and comprehensive multimodal characterization (including genetics, structural MRI, and family/neighborhood context)—enables a stringent test of heterogeneous effects in late childhood and early adolescence. This period represents a critical window of rapid </w:t>
      </w:r>
      <w:proofErr w:type="spellStart"/>
      <w:r w:rsidRPr="000E680C">
        <w:rPr>
          <w:sz w:val="24"/>
          <w:szCs w:val="28"/>
        </w:rPr>
        <w:t>fronto</w:t>
      </w:r>
      <w:proofErr w:type="spellEnd"/>
      <w:r w:rsidRPr="000E680C">
        <w:rPr>
          <w:sz w:val="24"/>
          <w:szCs w:val="28"/>
        </w:rPr>
        <w:t xml:space="preserve">-striatal and cortico-limbic </w:t>
      </w:r>
      <w:r w:rsidRPr="000E680C">
        <w:rPr>
          <w:sz w:val="24"/>
          <w:szCs w:val="28"/>
        </w:rPr>
        <w:lastRenderedPageBreak/>
        <w:t>maturation, which is central to emotion regulation, cognitive control, and reward processing. We aim to determine whether—and for whom—baseline screen media use predicts subsequent internalizing and externalizing problems over one- and two-year intervals. We u</w:t>
      </w:r>
      <w:r>
        <w:rPr>
          <w:rFonts w:hint="eastAsia"/>
          <w:sz w:val="24"/>
          <w:szCs w:val="28"/>
        </w:rPr>
        <w:t>se</w:t>
      </w:r>
      <w:r w:rsidRPr="000E680C">
        <w:rPr>
          <w:sz w:val="24"/>
          <w:szCs w:val="28"/>
        </w:rPr>
        <w:t xml:space="preserve"> the CBCL internalizing and externalizing scales as our outcomes, given their clinical interpretability and psychometric robustness. Screen exposure is derived from standardized items indexing typical daily screen time, with sensitivity analyses incorporating content, timing, and parent mediation where available.</w:t>
      </w:r>
    </w:p>
    <w:p w14:paraId="49FDABF9" w14:textId="484D2BEF" w:rsidR="00792025" w:rsidRDefault="00BF63E5" w:rsidP="00792025">
      <w:pPr>
        <w:ind w:firstLineChars="100" w:firstLine="240"/>
        <w:jc w:val="both"/>
        <w:rPr>
          <w:sz w:val="24"/>
          <w:szCs w:val="28"/>
        </w:rPr>
      </w:pPr>
      <w:r w:rsidRPr="00BF63E5">
        <w:rPr>
          <w:sz w:val="24"/>
          <w:szCs w:val="28"/>
        </w:rPr>
        <w:t xml:space="preserve">This study advances the field in three ways. </w:t>
      </w:r>
      <w:r w:rsidR="00792025" w:rsidRPr="00792025">
        <w:rPr>
          <w:sz w:val="24"/>
          <w:szCs w:val="28"/>
        </w:rPr>
        <w:t>First, we make a methodological contribution by pairing a longitudinal design with the Generalized Random Forest (GRF) method. This advanced approach allows us to obtain calibrated individual-level effect estimates, demonstrating how small average effects can mask clinically meaningful impacts within defined subgroups.</w:t>
      </w:r>
      <w:r w:rsidR="00792025">
        <w:rPr>
          <w:rFonts w:hint="eastAsia"/>
          <w:sz w:val="24"/>
          <w:szCs w:val="28"/>
        </w:rPr>
        <w:t xml:space="preserve"> </w:t>
      </w:r>
      <w:r w:rsidR="00792025" w:rsidRPr="00792025">
        <w:rPr>
          <w:sz w:val="24"/>
          <w:szCs w:val="28"/>
        </w:rPr>
        <w:t>Second, we delineate multimodal susceptibility profiles—specifically genetic liability, brain structure, and family ecology. By integrating these diverse factors, we move beyond single-risk variables to understand the complex, layered nature of vulnerability to screen media effects.</w:t>
      </w:r>
      <w:r w:rsidR="00792025">
        <w:rPr>
          <w:rFonts w:hint="eastAsia"/>
          <w:sz w:val="24"/>
          <w:szCs w:val="28"/>
        </w:rPr>
        <w:t xml:space="preserve"> </w:t>
      </w:r>
      <w:r w:rsidR="00792025" w:rsidRPr="00792025">
        <w:rPr>
          <w:sz w:val="24"/>
          <w:szCs w:val="28"/>
        </w:rPr>
        <w:t>Third, identifying these multimodal profiles allows us to identify specific targets for tailored guidance and enables the prioritization of preventive resources for children most likely to benefit from intervention.</w:t>
      </w:r>
    </w:p>
    <w:p w14:paraId="5EBCF5BC" w14:textId="20F26D9C" w:rsidR="00BF63E5" w:rsidRDefault="00792025" w:rsidP="00BF63E5">
      <w:pPr>
        <w:ind w:firstLineChars="100" w:firstLine="240"/>
        <w:jc w:val="both"/>
        <w:rPr>
          <w:sz w:val="24"/>
          <w:szCs w:val="28"/>
        </w:rPr>
      </w:pPr>
      <w:r w:rsidRPr="00792025">
        <w:rPr>
          <w:sz w:val="24"/>
          <w:szCs w:val="28"/>
        </w:rPr>
        <w:t>In summary, we move beyond seeking a universal verdict on screen media use. Instead, we aim to precisely specify for whom and under what conditions screen exposure predicts subsequent internalizing and externalizing problems during this sensitive developmental window. By integrating multimodal risk information within a causal, heterogeneity-aware framework, this study seeks to reconcile mixed findings and directly inform precision prevention efforts in pediatric mental health.</w:t>
      </w:r>
    </w:p>
    <w:p w14:paraId="02EFC330" w14:textId="77777777" w:rsidR="00792025" w:rsidRPr="00BF63E5" w:rsidRDefault="00792025" w:rsidP="00BF63E5">
      <w:pPr>
        <w:ind w:firstLineChars="100" w:firstLine="240"/>
        <w:jc w:val="both"/>
        <w:rPr>
          <w:sz w:val="24"/>
          <w:szCs w:val="28"/>
        </w:rPr>
      </w:pPr>
    </w:p>
    <w:p w14:paraId="4B565F9A" w14:textId="5075BA55" w:rsidR="00B821D2" w:rsidRPr="002078A0" w:rsidRDefault="00B821D2" w:rsidP="00C2383E">
      <w:pPr>
        <w:jc w:val="both"/>
        <w:rPr>
          <w:b/>
          <w:bCs/>
          <w:sz w:val="24"/>
          <w:szCs w:val="28"/>
        </w:rPr>
      </w:pPr>
      <w:r w:rsidRPr="002078A0">
        <w:rPr>
          <w:b/>
          <w:bCs/>
          <w:sz w:val="24"/>
          <w:szCs w:val="28"/>
        </w:rPr>
        <w:t>References</w:t>
      </w:r>
    </w:p>
    <w:p w14:paraId="6FE9DB1B" w14:textId="391C9BEC" w:rsidR="00E41CF0" w:rsidRPr="003E065B" w:rsidRDefault="00E41CF0" w:rsidP="00C2383E">
      <w:pPr>
        <w:jc w:val="both"/>
        <w:rPr>
          <w:sz w:val="24"/>
          <w:szCs w:val="28"/>
        </w:rPr>
      </w:pPr>
      <w:r w:rsidRPr="003E065B">
        <w:rPr>
          <w:sz w:val="24"/>
          <w:szCs w:val="28"/>
        </w:rPr>
        <w:t xml:space="preserve">Athey, S., </w:t>
      </w:r>
      <w:proofErr w:type="spellStart"/>
      <w:r w:rsidRPr="003E065B">
        <w:rPr>
          <w:sz w:val="24"/>
          <w:szCs w:val="28"/>
        </w:rPr>
        <w:t>Tibshirani</w:t>
      </w:r>
      <w:proofErr w:type="spellEnd"/>
      <w:r w:rsidRPr="003E065B">
        <w:rPr>
          <w:sz w:val="24"/>
          <w:szCs w:val="28"/>
        </w:rPr>
        <w:t xml:space="preserve">, J., &amp; Wager, S. (2018). </w:t>
      </w:r>
      <w:proofErr w:type="gramStart"/>
      <w:r w:rsidRPr="003E065B">
        <w:rPr>
          <w:i/>
          <w:iCs/>
          <w:sz w:val="24"/>
          <w:szCs w:val="28"/>
        </w:rPr>
        <w:t>Generalized</w:t>
      </w:r>
      <w:proofErr w:type="gramEnd"/>
      <w:r w:rsidRPr="003E065B">
        <w:rPr>
          <w:i/>
          <w:iCs/>
          <w:sz w:val="24"/>
          <w:szCs w:val="28"/>
        </w:rPr>
        <w:t xml:space="preserve"> random forests</w:t>
      </w:r>
      <w:r w:rsidRPr="003E065B">
        <w:rPr>
          <w:sz w:val="24"/>
          <w:szCs w:val="28"/>
        </w:rPr>
        <w:t xml:space="preserve">. </w:t>
      </w:r>
      <w:proofErr w:type="spellStart"/>
      <w:r w:rsidRPr="003E065B">
        <w:rPr>
          <w:sz w:val="24"/>
          <w:szCs w:val="28"/>
        </w:rPr>
        <w:t>arXiv</w:t>
      </w:r>
      <w:proofErr w:type="spellEnd"/>
      <w:r w:rsidRPr="003E065B">
        <w:rPr>
          <w:sz w:val="24"/>
          <w:szCs w:val="28"/>
        </w:rPr>
        <w:t xml:space="preserve"> preprint, arXiv:1610.01271.</w:t>
      </w:r>
    </w:p>
    <w:p w14:paraId="3BEB782E" w14:textId="34A88422" w:rsidR="00E41CF0" w:rsidRPr="003E065B" w:rsidRDefault="00E41CF0" w:rsidP="00C2383E">
      <w:pPr>
        <w:jc w:val="both"/>
        <w:rPr>
          <w:sz w:val="24"/>
          <w:szCs w:val="28"/>
        </w:rPr>
      </w:pPr>
      <w:r w:rsidRPr="003E065B">
        <w:rPr>
          <w:sz w:val="24"/>
          <w:szCs w:val="28"/>
        </w:rPr>
        <w:t xml:space="preserve">Eales, L., Wiglesworth, A., Cullen, K. R., &amp; Klimes-Dougan, B. (2025). Screen time, </w:t>
      </w:r>
      <w:r w:rsidRPr="003E065B">
        <w:rPr>
          <w:sz w:val="24"/>
          <w:szCs w:val="28"/>
        </w:rPr>
        <w:lastRenderedPageBreak/>
        <w:t xml:space="preserve">problematic media use, and clinical concerns in the ABCD Study: Differences by sex and race/ethnicity. </w:t>
      </w:r>
      <w:r w:rsidRPr="003E065B">
        <w:rPr>
          <w:i/>
          <w:iCs/>
          <w:sz w:val="24"/>
          <w:szCs w:val="28"/>
        </w:rPr>
        <w:t>Development and Psychopathology</w:t>
      </w:r>
      <w:r w:rsidRPr="003E065B">
        <w:rPr>
          <w:sz w:val="24"/>
          <w:szCs w:val="28"/>
        </w:rPr>
        <w:t>, 1–14.</w:t>
      </w:r>
    </w:p>
    <w:p w14:paraId="536E5008" w14:textId="5D968906" w:rsidR="00E41CF0" w:rsidRPr="00CE1F64" w:rsidRDefault="00E41CF0" w:rsidP="00C2383E">
      <w:pPr>
        <w:jc w:val="both"/>
        <w:rPr>
          <w:sz w:val="24"/>
          <w:szCs w:val="28"/>
        </w:rPr>
      </w:pPr>
      <w:r w:rsidRPr="00CE1F64">
        <w:rPr>
          <w:sz w:val="24"/>
          <w:szCs w:val="28"/>
        </w:rPr>
        <w:t xml:space="preserve">Eirich, R., McArthur, B. A., Anhorn, C., McGuinness, C., Christakis, D. A., &amp; Madigan, S. (2022). Association of screen time with internalizing and externalizing behavior problems in children 12 years or younger: a systematic review and meta-analysis. </w:t>
      </w:r>
      <w:r w:rsidRPr="00CE1F64">
        <w:rPr>
          <w:i/>
          <w:iCs/>
          <w:sz w:val="24"/>
          <w:szCs w:val="28"/>
        </w:rPr>
        <w:t>JAMA Psychiatry</w:t>
      </w:r>
      <w:r w:rsidRPr="00CE1F64">
        <w:rPr>
          <w:sz w:val="24"/>
          <w:szCs w:val="28"/>
        </w:rPr>
        <w:t xml:space="preserve">, </w:t>
      </w:r>
      <w:r w:rsidRPr="00CE1F64">
        <w:rPr>
          <w:i/>
          <w:iCs/>
          <w:sz w:val="24"/>
          <w:szCs w:val="28"/>
        </w:rPr>
        <w:t>79</w:t>
      </w:r>
      <w:r w:rsidRPr="00CE1F64">
        <w:rPr>
          <w:sz w:val="24"/>
          <w:szCs w:val="28"/>
        </w:rPr>
        <w:t>(5), 393–405.</w:t>
      </w:r>
    </w:p>
    <w:p w14:paraId="2826E4AE" w14:textId="5EC39876" w:rsidR="00E41CF0" w:rsidRPr="003E065B" w:rsidRDefault="00E41CF0" w:rsidP="00C2383E">
      <w:pPr>
        <w:jc w:val="both"/>
        <w:rPr>
          <w:sz w:val="24"/>
          <w:szCs w:val="28"/>
        </w:rPr>
      </w:pPr>
      <w:r w:rsidRPr="003E065B">
        <w:rPr>
          <w:sz w:val="24"/>
          <w:szCs w:val="28"/>
        </w:rPr>
        <w:t xml:space="preserve">Nagata, J. M., Chu, J., Ganson, K. T., Murray, S. B., Iyer, P., Gabriel, K. P., Garber, A. K., Bibbins-Domingo, K., &amp; Baker, F. C. (2023). Contemporary screen time modalities and disruptive behavior disorders in children: a prospective cohort study. </w:t>
      </w:r>
      <w:r w:rsidRPr="003E065B">
        <w:rPr>
          <w:i/>
          <w:iCs/>
          <w:sz w:val="24"/>
          <w:szCs w:val="28"/>
        </w:rPr>
        <w:t>Journal of Child Psychology and Psychiatry, and Allied Disciplines</w:t>
      </w:r>
      <w:r w:rsidRPr="003E065B">
        <w:rPr>
          <w:sz w:val="24"/>
          <w:szCs w:val="28"/>
        </w:rPr>
        <w:t xml:space="preserve">, </w:t>
      </w:r>
      <w:r w:rsidRPr="003E065B">
        <w:rPr>
          <w:i/>
          <w:iCs/>
          <w:sz w:val="24"/>
          <w:szCs w:val="28"/>
        </w:rPr>
        <w:t>64</w:t>
      </w:r>
      <w:r w:rsidRPr="003E065B">
        <w:rPr>
          <w:sz w:val="24"/>
          <w:szCs w:val="28"/>
        </w:rPr>
        <w:t>(1), 125–135.</w:t>
      </w:r>
    </w:p>
    <w:p w14:paraId="5948A142" w14:textId="476A1DFE" w:rsidR="00E41CF0" w:rsidRPr="003E065B" w:rsidRDefault="00E41CF0" w:rsidP="00C2383E">
      <w:pPr>
        <w:jc w:val="both"/>
        <w:rPr>
          <w:sz w:val="24"/>
          <w:szCs w:val="28"/>
        </w:rPr>
      </w:pPr>
      <w:r w:rsidRPr="003E065B">
        <w:rPr>
          <w:sz w:val="24"/>
          <w:szCs w:val="28"/>
        </w:rPr>
        <w:t xml:space="preserve">Ritchie, H. (2024, November 28). </w:t>
      </w:r>
      <w:r w:rsidRPr="003E065B">
        <w:rPr>
          <w:i/>
          <w:iCs/>
          <w:sz w:val="24"/>
          <w:szCs w:val="28"/>
        </w:rPr>
        <w:t>Australia approves social media ban on under-16s</w:t>
      </w:r>
      <w:r w:rsidRPr="003E065B">
        <w:rPr>
          <w:sz w:val="24"/>
          <w:szCs w:val="28"/>
        </w:rPr>
        <w:t xml:space="preserve">. BBC News. </w:t>
      </w:r>
      <w:hyperlink r:id="rId5" w:tgtFrame="_blank" w:history="1">
        <w:r w:rsidRPr="003E065B">
          <w:rPr>
            <w:rStyle w:val="ab"/>
            <w:color w:val="auto"/>
            <w:sz w:val="24"/>
            <w:szCs w:val="28"/>
          </w:rPr>
          <w:t>https://www.bbc.com/news/articles/c89vjj0lxx90</w:t>
        </w:r>
      </w:hyperlink>
    </w:p>
    <w:p w14:paraId="211915E6" w14:textId="77777777" w:rsidR="00E41CF0" w:rsidRPr="003E065B" w:rsidRDefault="00E41CF0" w:rsidP="00C2383E">
      <w:pPr>
        <w:jc w:val="both"/>
        <w:rPr>
          <w:sz w:val="24"/>
          <w:szCs w:val="28"/>
        </w:rPr>
      </w:pPr>
    </w:p>
    <w:sectPr w:rsidR="00E41CF0" w:rsidRPr="003E065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17B"/>
    <w:multiLevelType w:val="hybridMultilevel"/>
    <w:tmpl w:val="41885BBC"/>
    <w:lvl w:ilvl="0" w:tplc="B2669DB2">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6145DDA"/>
    <w:multiLevelType w:val="multilevel"/>
    <w:tmpl w:val="645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117336">
    <w:abstractNumId w:val="0"/>
  </w:num>
  <w:num w:numId="2" w16cid:durableId="101935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BFE"/>
    <w:rsid w:val="000170EF"/>
    <w:rsid w:val="00026180"/>
    <w:rsid w:val="000309E3"/>
    <w:rsid w:val="00033B90"/>
    <w:rsid w:val="000405E0"/>
    <w:rsid w:val="00045E1B"/>
    <w:rsid w:val="00066EF0"/>
    <w:rsid w:val="00067793"/>
    <w:rsid w:val="000724A4"/>
    <w:rsid w:val="00091349"/>
    <w:rsid w:val="000956C5"/>
    <w:rsid w:val="000A477B"/>
    <w:rsid w:val="000D6498"/>
    <w:rsid w:val="000E680C"/>
    <w:rsid w:val="000F0F5C"/>
    <w:rsid w:val="000F3143"/>
    <w:rsid w:val="001170C2"/>
    <w:rsid w:val="001331BF"/>
    <w:rsid w:val="00163031"/>
    <w:rsid w:val="00167ED0"/>
    <w:rsid w:val="0019222B"/>
    <w:rsid w:val="001A1C32"/>
    <w:rsid w:val="001A62D7"/>
    <w:rsid w:val="001B2CD9"/>
    <w:rsid w:val="001C14F7"/>
    <w:rsid w:val="001E63A7"/>
    <w:rsid w:val="002078A0"/>
    <w:rsid w:val="00233159"/>
    <w:rsid w:val="002502DB"/>
    <w:rsid w:val="00274723"/>
    <w:rsid w:val="00274DCF"/>
    <w:rsid w:val="0028595A"/>
    <w:rsid w:val="002B429C"/>
    <w:rsid w:val="002B649B"/>
    <w:rsid w:val="002C0828"/>
    <w:rsid w:val="002C1C45"/>
    <w:rsid w:val="002E5EE5"/>
    <w:rsid w:val="00302896"/>
    <w:rsid w:val="00330EDD"/>
    <w:rsid w:val="003349D8"/>
    <w:rsid w:val="00364C77"/>
    <w:rsid w:val="0039256A"/>
    <w:rsid w:val="003A6B27"/>
    <w:rsid w:val="003B6286"/>
    <w:rsid w:val="003D48AF"/>
    <w:rsid w:val="003D5374"/>
    <w:rsid w:val="003E065B"/>
    <w:rsid w:val="003F3779"/>
    <w:rsid w:val="003F4583"/>
    <w:rsid w:val="00424254"/>
    <w:rsid w:val="004300AD"/>
    <w:rsid w:val="00452C8E"/>
    <w:rsid w:val="00465636"/>
    <w:rsid w:val="00472A60"/>
    <w:rsid w:val="0047770E"/>
    <w:rsid w:val="00481FDB"/>
    <w:rsid w:val="004941E6"/>
    <w:rsid w:val="004A405A"/>
    <w:rsid w:val="004A4068"/>
    <w:rsid w:val="004E421A"/>
    <w:rsid w:val="004E5692"/>
    <w:rsid w:val="004F3069"/>
    <w:rsid w:val="0055173B"/>
    <w:rsid w:val="00564834"/>
    <w:rsid w:val="005744AF"/>
    <w:rsid w:val="00575E90"/>
    <w:rsid w:val="005A3B07"/>
    <w:rsid w:val="005A60B9"/>
    <w:rsid w:val="005C3F35"/>
    <w:rsid w:val="006004A2"/>
    <w:rsid w:val="00606D2A"/>
    <w:rsid w:val="006354A6"/>
    <w:rsid w:val="00640644"/>
    <w:rsid w:val="00646C3C"/>
    <w:rsid w:val="006830A8"/>
    <w:rsid w:val="006B2084"/>
    <w:rsid w:val="006C3DA3"/>
    <w:rsid w:val="006D55DE"/>
    <w:rsid w:val="006F40BB"/>
    <w:rsid w:val="007050E4"/>
    <w:rsid w:val="00715628"/>
    <w:rsid w:val="00727E87"/>
    <w:rsid w:val="007617D5"/>
    <w:rsid w:val="007726F0"/>
    <w:rsid w:val="00775DEC"/>
    <w:rsid w:val="00792025"/>
    <w:rsid w:val="007A4D5E"/>
    <w:rsid w:val="007A5A56"/>
    <w:rsid w:val="007A6ABF"/>
    <w:rsid w:val="007B3519"/>
    <w:rsid w:val="007B48A3"/>
    <w:rsid w:val="007C2AE9"/>
    <w:rsid w:val="007D1AFF"/>
    <w:rsid w:val="007E70B0"/>
    <w:rsid w:val="00826E33"/>
    <w:rsid w:val="00833697"/>
    <w:rsid w:val="00834107"/>
    <w:rsid w:val="00835D1A"/>
    <w:rsid w:val="00843B11"/>
    <w:rsid w:val="00867C14"/>
    <w:rsid w:val="00886D2B"/>
    <w:rsid w:val="008A1524"/>
    <w:rsid w:val="008A3464"/>
    <w:rsid w:val="008B021E"/>
    <w:rsid w:val="008C4D9D"/>
    <w:rsid w:val="008D4642"/>
    <w:rsid w:val="008D617E"/>
    <w:rsid w:val="008D7535"/>
    <w:rsid w:val="00902AE6"/>
    <w:rsid w:val="00902E3D"/>
    <w:rsid w:val="0093067E"/>
    <w:rsid w:val="0093541C"/>
    <w:rsid w:val="009379E6"/>
    <w:rsid w:val="00950E4A"/>
    <w:rsid w:val="00976E0C"/>
    <w:rsid w:val="0099299E"/>
    <w:rsid w:val="00994713"/>
    <w:rsid w:val="009B2257"/>
    <w:rsid w:val="009B68BE"/>
    <w:rsid w:val="009B7E64"/>
    <w:rsid w:val="009D2BC0"/>
    <w:rsid w:val="009D3AD3"/>
    <w:rsid w:val="009D6075"/>
    <w:rsid w:val="009E6C1B"/>
    <w:rsid w:val="00A1289B"/>
    <w:rsid w:val="00A15E5B"/>
    <w:rsid w:val="00A352F3"/>
    <w:rsid w:val="00A3797F"/>
    <w:rsid w:val="00A5323C"/>
    <w:rsid w:val="00A6208A"/>
    <w:rsid w:val="00A63A8C"/>
    <w:rsid w:val="00A75A6A"/>
    <w:rsid w:val="00A75E41"/>
    <w:rsid w:val="00A76533"/>
    <w:rsid w:val="00A85CDB"/>
    <w:rsid w:val="00AD7A70"/>
    <w:rsid w:val="00AE0C18"/>
    <w:rsid w:val="00AE75AB"/>
    <w:rsid w:val="00B03665"/>
    <w:rsid w:val="00B1027E"/>
    <w:rsid w:val="00B40574"/>
    <w:rsid w:val="00B54F13"/>
    <w:rsid w:val="00B6122E"/>
    <w:rsid w:val="00B65930"/>
    <w:rsid w:val="00B75B1A"/>
    <w:rsid w:val="00B821D2"/>
    <w:rsid w:val="00B83093"/>
    <w:rsid w:val="00BD4676"/>
    <w:rsid w:val="00BF4830"/>
    <w:rsid w:val="00BF63E5"/>
    <w:rsid w:val="00C11B06"/>
    <w:rsid w:val="00C16908"/>
    <w:rsid w:val="00C2383E"/>
    <w:rsid w:val="00C27E43"/>
    <w:rsid w:val="00C41972"/>
    <w:rsid w:val="00C5208F"/>
    <w:rsid w:val="00C57458"/>
    <w:rsid w:val="00C66D78"/>
    <w:rsid w:val="00C82549"/>
    <w:rsid w:val="00C901FB"/>
    <w:rsid w:val="00CD222A"/>
    <w:rsid w:val="00CD288B"/>
    <w:rsid w:val="00CE1F64"/>
    <w:rsid w:val="00CE4783"/>
    <w:rsid w:val="00CF7D59"/>
    <w:rsid w:val="00D03C77"/>
    <w:rsid w:val="00D04C3D"/>
    <w:rsid w:val="00D30181"/>
    <w:rsid w:val="00D329CE"/>
    <w:rsid w:val="00D346A8"/>
    <w:rsid w:val="00D52666"/>
    <w:rsid w:val="00D54F50"/>
    <w:rsid w:val="00D57574"/>
    <w:rsid w:val="00DA0D78"/>
    <w:rsid w:val="00DA1B28"/>
    <w:rsid w:val="00DA3456"/>
    <w:rsid w:val="00DF0ED5"/>
    <w:rsid w:val="00DF660D"/>
    <w:rsid w:val="00E13BFE"/>
    <w:rsid w:val="00E172B4"/>
    <w:rsid w:val="00E20F5E"/>
    <w:rsid w:val="00E40999"/>
    <w:rsid w:val="00E41CF0"/>
    <w:rsid w:val="00E45375"/>
    <w:rsid w:val="00E46486"/>
    <w:rsid w:val="00E52135"/>
    <w:rsid w:val="00E53E2C"/>
    <w:rsid w:val="00E555A3"/>
    <w:rsid w:val="00E55FD7"/>
    <w:rsid w:val="00E620F2"/>
    <w:rsid w:val="00E7469A"/>
    <w:rsid w:val="00E81D53"/>
    <w:rsid w:val="00EC39CC"/>
    <w:rsid w:val="00EC4B5A"/>
    <w:rsid w:val="00ED36AA"/>
    <w:rsid w:val="00EE203D"/>
    <w:rsid w:val="00EF00BE"/>
    <w:rsid w:val="00F055BC"/>
    <w:rsid w:val="00F2017D"/>
    <w:rsid w:val="00F261F0"/>
    <w:rsid w:val="00F27CD0"/>
    <w:rsid w:val="00F504B5"/>
    <w:rsid w:val="00F66025"/>
    <w:rsid w:val="00F973E6"/>
    <w:rsid w:val="00FC1250"/>
    <w:rsid w:val="00FC1686"/>
    <w:rsid w:val="00FC466D"/>
    <w:rsid w:val="00FC538B"/>
    <w:rsid w:val="00FD3852"/>
    <w:rsid w:val="00FF0BD1"/>
    <w:rsid w:val="00FF2C7B"/>
    <w:rsid w:val="00FF34E3"/>
    <w:rsid w:val="00FF6C3A"/>
    <w:rsid w:val="00FF72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E288"/>
  <w15:chartTrackingRefBased/>
  <w15:docId w15:val="{B709C5DD-9584-47A7-9B07-E3F7D9616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13B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13B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13B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13B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13B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13B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13B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13B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13B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13B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13B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13B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13B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13B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13B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13B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13B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13B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13B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13B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13B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13B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13BFE"/>
    <w:pPr>
      <w:spacing w:before="160"/>
      <w:jc w:val="center"/>
    </w:pPr>
    <w:rPr>
      <w:i/>
      <w:iCs/>
      <w:color w:val="404040" w:themeColor="text1" w:themeTint="BF"/>
    </w:rPr>
  </w:style>
  <w:style w:type="character" w:customStyle="1" w:styleId="Char1">
    <w:name w:val="인용 Char"/>
    <w:basedOn w:val="a0"/>
    <w:link w:val="a5"/>
    <w:uiPriority w:val="29"/>
    <w:rsid w:val="00E13BFE"/>
    <w:rPr>
      <w:i/>
      <w:iCs/>
      <w:color w:val="404040" w:themeColor="text1" w:themeTint="BF"/>
    </w:rPr>
  </w:style>
  <w:style w:type="paragraph" w:styleId="a6">
    <w:name w:val="List Paragraph"/>
    <w:basedOn w:val="a"/>
    <w:uiPriority w:val="34"/>
    <w:qFormat/>
    <w:rsid w:val="00E13BFE"/>
    <w:pPr>
      <w:ind w:left="720"/>
      <w:contextualSpacing/>
    </w:pPr>
  </w:style>
  <w:style w:type="character" w:styleId="a7">
    <w:name w:val="Intense Emphasis"/>
    <w:basedOn w:val="a0"/>
    <w:uiPriority w:val="21"/>
    <w:qFormat/>
    <w:rsid w:val="00E13BFE"/>
    <w:rPr>
      <w:i/>
      <w:iCs/>
      <w:color w:val="0F4761" w:themeColor="accent1" w:themeShade="BF"/>
    </w:rPr>
  </w:style>
  <w:style w:type="paragraph" w:styleId="a8">
    <w:name w:val="Intense Quote"/>
    <w:basedOn w:val="a"/>
    <w:next w:val="a"/>
    <w:link w:val="Char2"/>
    <w:uiPriority w:val="30"/>
    <w:qFormat/>
    <w:rsid w:val="00E13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13BFE"/>
    <w:rPr>
      <w:i/>
      <w:iCs/>
      <w:color w:val="0F4761" w:themeColor="accent1" w:themeShade="BF"/>
    </w:rPr>
  </w:style>
  <w:style w:type="character" w:styleId="a9">
    <w:name w:val="Intense Reference"/>
    <w:basedOn w:val="a0"/>
    <w:uiPriority w:val="32"/>
    <w:qFormat/>
    <w:rsid w:val="00E13BFE"/>
    <w:rPr>
      <w:b/>
      <w:bCs/>
      <w:smallCaps/>
      <w:color w:val="0F4761" w:themeColor="accent1" w:themeShade="BF"/>
      <w:spacing w:val="5"/>
    </w:rPr>
  </w:style>
  <w:style w:type="paragraph" w:styleId="aa">
    <w:name w:val="Normal (Web)"/>
    <w:basedOn w:val="a"/>
    <w:uiPriority w:val="99"/>
    <w:semiHidden/>
    <w:unhideWhenUsed/>
    <w:rsid w:val="00B40574"/>
    <w:rPr>
      <w:rFonts w:ascii="Times New Roman" w:hAnsi="Times New Roman" w:cs="Times New Roman"/>
      <w:sz w:val="24"/>
    </w:rPr>
  </w:style>
  <w:style w:type="character" w:styleId="ab">
    <w:name w:val="Hyperlink"/>
    <w:basedOn w:val="a0"/>
    <w:uiPriority w:val="99"/>
    <w:unhideWhenUsed/>
    <w:rsid w:val="001331BF"/>
    <w:rPr>
      <w:color w:val="467886" w:themeColor="hyperlink"/>
      <w:u w:val="single"/>
    </w:rPr>
  </w:style>
  <w:style w:type="character" w:styleId="ac">
    <w:name w:val="Unresolved Mention"/>
    <w:basedOn w:val="a0"/>
    <w:uiPriority w:val="99"/>
    <w:semiHidden/>
    <w:unhideWhenUsed/>
    <w:rsid w:val="001331BF"/>
    <w:rPr>
      <w:color w:val="605E5C"/>
      <w:shd w:val="clear" w:color="auto" w:fill="E1DFDD"/>
    </w:rPr>
  </w:style>
  <w:style w:type="character" w:styleId="ad">
    <w:name w:val="annotation reference"/>
    <w:basedOn w:val="a0"/>
    <w:uiPriority w:val="99"/>
    <w:semiHidden/>
    <w:unhideWhenUsed/>
    <w:rsid w:val="004A4068"/>
    <w:rPr>
      <w:sz w:val="18"/>
      <w:szCs w:val="18"/>
    </w:rPr>
  </w:style>
  <w:style w:type="paragraph" w:styleId="ae">
    <w:name w:val="annotation text"/>
    <w:basedOn w:val="a"/>
    <w:link w:val="Char3"/>
    <w:uiPriority w:val="99"/>
    <w:unhideWhenUsed/>
    <w:rsid w:val="004A4068"/>
  </w:style>
  <w:style w:type="character" w:customStyle="1" w:styleId="Char3">
    <w:name w:val="메모 텍스트 Char"/>
    <w:basedOn w:val="a0"/>
    <w:link w:val="ae"/>
    <w:uiPriority w:val="99"/>
    <w:rsid w:val="004A4068"/>
  </w:style>
  <w:style w:type="paragraph" w:styleId="af">
    <w:name w:val="annotation subject"/>
    <w:basedOn w:val="ae"/>
    <w:next w:val="ae"/>
    <w:link w:val="Char4"/>
    <w:uiPriority w:val="99"/>
    <w:semiHidden/>
    <w:unhideWhenUsed/>
    <w:rsid w:val="004A4068"/>
    <w:rPr>
      <w:b/>
      <w:bCs/>
    </w:rPr>
  </w:style>
  <w:style w:type="character" w:customStyle="1" w:styleId="Char4">
    <w:name w:val="메모 주제 Char"/>
    <w:basedOn w:val="Char3"/>
    <w:link w:val="af"/>
    <w:uiPriority w:val="99"/>
    <w:semiHidden/>
    <w:rsid w:val="004A4068"/>
    <w:rPr>
      <w:b/>
      <w:bCs/>
    </w:rPr>
  </w:style>
  <w:style w:type="paragraph" w:styleId="af0">
    <w:name w:val="Revision"/>
    <w:hidden/>
    <w:uiPriority w:val="99"/>
    <w:semiHidden/>
    <w:rsid w:val="00B6593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bc.com/news/articles/c89vjj0lxx90"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1134</Words>
  <Characters>6468</Characters>
  <Application>Microsoft Office Word</Application>
  <DocSecurity>0</DocSecurity>
  <Lines>53</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윤유진</dc:creator>
  <cp:keywords/>
  <dc:description/>
  <cp:lastModifiedBy>yujin yun</cp:lastModifiedBy>
  <cp:revision>4</cp:revision>
  <cp:lastPrinted>2025-11-11T01:45:00Z</cp:lastPrinted>
  <dcterms:created xsi:type="dcterms:W3CDTF">2025-11-11T01:44:00Z</dcterms:created>
  <dcterms:modified xsi:type="dcterms:W3CDTF">2025-11-11T01:45:00Z</dcterms:modified>
</cp:coreProperties>
</file>