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Report: Stateful Lifecycle of Stateful Widget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Stateful Widget Lifecycle: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stateful lifecycle of a stateful widget consists of several distinct phases. Each phase represents a specific point in the widget's lifespan and provides opportunities for performing specific operations or handling state changes. The typical stateful widget lifecycle consists of the following phases: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Creation: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The widget is instantiated using the constructor.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The initState() method is called, providing an opportunity to initialize any variables or resources needed by the widget.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Initialization: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The dependencies of the widget are resolved.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The didChangeDependencies() method is called, allowing the widget to handle changes in its dependencies.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State Changes: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The build() method is called, which builds the widget's user interface based on its current state.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User interactions or external events can trigger state changes.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The setState() method is called to notify the framework that the state has changed.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The framework calls the build() method again to update the user interface based on the new state.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Deactivation: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-The deactivate() method is called when the widget is removed from the widget tree.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It provides an opportunity to clean up resources or perform any necessary cleanup operations.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Disposal: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-The dispose() method is called when the widget is permanently removed from the widget tree.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It allows the widget to release any resources it has acquired during its lifetime.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