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C35A4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自动化大二上学期课程学习指南</w:t>
      </w:r>
    </w:p>
    <w:p w14:paraId="399D37CE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指南依据本人于大二上学期的课程学习与备考实践整理编写，旨在帮助自动化专业大二学生快速把握各课程的学习重点、考核范围与备考路径。全文按课程分章编排，各章先概述课程特点，再分述重点题型与备考建议。建议读者将本指南与教材、课件配合使用，并结合自身实际情况灵活调整学习安排。</w:t>
      </w:r>
    </w:p>
    <w:p w14:paraId="3CA0B5C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一、模拟电子技术</w:t>
      </w:r>
    </w:p>
    <w:p w14:paraId="442C91D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（一）课程概述</w:t>
      </w:r>
    </w:p>
    <w:p w14:paraId="32158FC6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课程自晶体管与CMOS器件的基本原理讲起。根据考核经验，器件原理部分不纳入期末考试范围，且概念抽象、理解难度较高。建议读者理性取舍，将有限精力集中于可稳定得分的重点题型，以实现学业成绩与学习负担之间的平衡。</w:t>
      </w:r>
    </w:p>
    <w:p w14:paraId="0C246AA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（二）重点题型与备考策略</w:t>
      </w:r>
    </w:p>
    <w:p w14:paraId="0C90A0A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运放电路</w:t>
      </w:r>
    </w:p>
    <w:p w14:paraId="072F8EE1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本类题型难度较低，重在掌握分析方法。解题时，利用“虚短”“虚断”概念设定关键电压节点，再依据基尔霍夫电压定律（KVL）与基尔霍夫电流定律（KCL）列写联立方程组，按部就班求解即可。</w:t>
      </w:r>
    </w:p>
    <w:p w14:paraId="52390326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CMOS管电路计算</w:t>
      </w:r>
    </w:p>
    <w:p w14:paraId="32CC6F00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（1）教材课后题。</w:t>
      </w:r>
      <w:r>
        <w:rPr>
          <w:rFonts w:hint="default" w:ascii="Times New Roman" w:hAnsi="Times New Roman" w:eastAsia="宋体" w:cs="Times New Roman"/>
          <w:sz w:val="32"/>
          <w:szCs w:val="32"/>
        </w:rPr>
        <w:t>建议筛选教材课后题中与期末试题题型相近的题目重点练习，典型题目示例如图1所示；对明显偏离考核方向的偏题、怪题，可不予训练。</w:t>
      </w:r>
    </w:p>
    <w:p w14:paraId="2B7E170B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（2）在线课程资源。</w:t>
      </w:r>
      <w:r>
        <w:rPr>
          <w:rFonts w:hint="default" w:ascii="Times New Roman" w:hAnsi="Times New Roman" w:eastAsia="宋体" w:cs="Times New Roman"/>
          <w:sz w:val="32"/>
          <w:szCs w:val="32"/>
        </w:rPr>
        <w:t>推荐学习如下网课视频，该课程对本类题型讲解细致、示范完整，跟随完整练习一遍即可掌握。</w:t>
      </w:r>
    </w:p>
    <w:p w14:paraId="0F2C57AE">
      <w:pPr>
        <w:ind w:firstLine="64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"https://www.bilibili.com/video/BV1C8DUY5EBf?t=9.5&amp;p=18"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0563C1"/>
          <w:sz w:val="32"/>
          <w:u w:val="single"/>
        </w:rPr>
        <w:t>https://www.bilibili.com/video/BV1C8DUY5EBf?t=9.5&amp;p=18</w:t>
      </w:r>
      <w:r>
        <w:rPr>
          <w:rFonts w:hint="default" w:ascii="Times New Roman" w:hAnsi="Times New Roman" w:eastAsia="宋体" w:cs="Times New Roman"/>
          <w:color w:val="0563C1"/>
          <w:sz w:val="32"/>
          <w:u w:val="single"/>
        </w:rPr>
        <w:fldChar w:fldCharType="end"/>
      </w:r>
    </w:p>
    <w:p w14:paraId="4B0DB13F">
      <w:pPr>
        <w:spacing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679950" cy="3583940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FAF">
      <w:pPr>
        <w:pStyle w:val="1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图1  CMOS管电路计算典型题目示例</w:t>
      </w:r>
    </w:p>
    <w:p w14:paraId="14AA78A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晶体管电路计算</w:t>
      </w:r>
    </w:p>
    <w:p w14:paraId="7D177736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选题方法与第2类题型相同；其求解思路与CMOS管电路计算高度相似，可参照同类方法进行训练。</w:t>
      </w:r>
    </w:p>
    <w:p w14:paraId="6DDBE67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反馈相关问题</w:t>
      </w:r>
    </w:p>
    <w:p w14:paraId="301D63F8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章为全课程公认难点。建议将本章全部例题与课后题反复训练多遍，务必全面覆盖。教材中部分推演过程逻辑性不强，试图逐一厘清因果关系难度较大；可行策略是通过大量习题训练归纳“反馈规律”，此方法经本人实践检验有效。</w:t>
      </w:r>
    </w:p>
    <w:p w14:paraId="613BFFA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功耗相关问题</w:t>
      </w:r>
    </w:p>
    <w:p w14:paraId="4B35F522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本类题型以公式记忆为主，并无捷径，建议系统整理并熟记相关公式。</w:t>
      </w:r>
    </w:p>
    <w:p w14:paraId="5415AB57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滤波电路</w:t>
      </w:r>
    </w:p>
    <w:p w14:paraId="1F0F8EB0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本类题型高度固定，可直接以历年真题最后一道题为训练对象。</w:t>
      </w:r>
    </w:p>
    <w:p w14:paraId="623A648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方波产生电路</w:t>
      </w:r>
    </w:p>
    <w:p w14:paraId="4C8BEBC2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建议熟记教材给出的电路模型，考试时直接套用。</w:t>
      </w:r>
    </w:p>
    <w:p w14:paraId="676FE1D7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差分放大电路</w:t>
      </w:r>
    </w:p>
    <w:p w14:paraId="61AC23CE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本类题型公式较多，需耐心记忆；教材例题可作为对应题型的训练素材，典型题目示例如图2所示。另可参考华中科技大学《模拟电子技术》慕课“期末考试题讲解”部分，实用性较强。</w:t>
      </w:r>
    </w:p>
    <w:p w14:paraId="579B2ECB">
      <w:pPr>
        <w:spacing w:line="240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39995" cy="271526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C539">
      <w:pPr>
        <w:pStyle w:val="1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图2  差分放大电路典型题目示例</w:t>
      </w:r>
    </w:p>
    <w:p w14:paraId="33F99C0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二、数字电子技术</w:t>
      </w:r>
    </w:p>
    <w:p w14:paraId="43CC953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（一）课程难度与总体策略</w:t>
      </w:r>
    </w:p>
    <w:p w14:paraId="69DFA9CC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据本人学习体会，本课程为大二上学期难度最高的课程。考试题中包含若干固定的送分题（如卡诺图化简），达到及格线并不困难；但取得高分难度较大，本人考试时亦未能完成全部题目。</w:t>
      </w:r>
    </w:p>
    <w:p w14:paraId="08897A6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（二）备考要点</w:t>
      </w:r>
    </w:p>
    <w:p w14:paraId="3E75B9AC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1. 压轴题。</w:t>
      </w:r>
      <w:r>
        <w:rPr>
          <w:rFonts w:hint="default" w:ascii="Times New Roman" w:hAnsi="Times New Roman" w:eastAsia="宋体" w:cs="Times New Roman"/>
          <w:sz w:val="32"/>
          <w:szCs w:val="32"/>
        </w:rPr>
        <w:t>试卷最后一道大题通常超出教学内容范围，完整作答难度极大，不必寄予过高期望；可依据推理与直觉尽力作答部分内容。</w:t>
      </w:r>
    </w:p>
    <w:p w14:paraId="7528DA4B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2. 时序电路。</w:t>
      </w:r>
      <w:r>
        <w:rPr>
          <w:rFonts w:hint="default" w:ascii="Times New Roman" w:hAnsi="Times New Roman" w:eastAsia="宋体" w:cs="Times New Roman"/>
          <w:sz w:val="32"/>
          <w:szCs w:val="32"/>
        </w:rPr>
        <w:t>为本课程绝对难点。教材中与历年真题相近的例题务必精读，并牢记完整解题流程。</w:t>
      </w:r>
    </w:p>
    <w:p w14:paraId="27E7304C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3. 波形绘制题。</w:t>
      </w:r>
      <w:r>
        <w:rPr>
          <w:rFonts w:hint="default" w:ascii="Times New Roman" w:hAnsi="Times New Roman" w:eastAsia="宋体" w:cs="Times New Roman"/>
          <w:sz w:val="32"/>
          <w:szCs w:val="32"/>
        </w:rPr>
        <w:t>根据时序电路绘制输出波形，此类题目较为耗时；若解题初始受阻，建议先行跳过，待时间允许再回头推导。</w:t>
      </w:r>
    </w:p>
    <w:p w14:paraId="3462DCC1">
      <w:pPr>
        <w:ind w:firstLine="643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4. 课程后半部分。</w:t>
      </w:r>
      <w:r>
        <w:rPr>
          <w:rFonts w:hint="default" w:ascii="Times New Roman" w:hAnsi="Times New Roman" w:eastAsia="宋体" w:cs="Times New Roman"/>
          <w:sz w:val="32"/>
          <w:szCs w:val="32"/>
        </w:rPr>
        <w:t>教学内容较为庞杂但深度有限，考试以概念性考查为主，无需过度深入理解；反复阅读课件、通读教材即可应对。</w:t>
      </w:r>
    </w:p>
    <w:p w14:paraId="530A03B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三、模拟电路实验</w:t>
      </w:r>
    </w:p>
    <w:p w14:paraId="51B1C29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（一）日常实验</w:t>
      </w:r>
    </w:p>
    <w:p w14:paraId="50281AA3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建议独立完成各项日常实验。示波器使用应提前熟练掌握，该技能属于实操考试的考查内容。</w:t>
      </w:r>
    </w:p>
    <w:p w14:paraId="439CBF2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（二）实操考试</w:t>
      </w:r>
    </w:p>
    <w:p w14:paraId="4653E6F7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实操考试为开卷形式，题目高度固定，集中于运放电路。建议向高年级同学征询往年题目，提前自行搭建放大电路进行演练，以增强应试稳定性。</w:t>
      </w:r>
    </w:p>
    <w:p w14:paraId="4ACEB4E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（三）笔试</w:t>
      </w:r>
    </w:p>
    <w:p w14:paraId="7DCE7584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笔试抽象程度与物理实验笔试相当，建议理性对待。其中，色环电阻识别、各类电容识别等基础元件题目，建议重点背诵课件内容，避免在此类基础题上失分。</w:t>
      </w:r>
    </w:p>
    <w:p w14:paraId="7E794F9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四、复变函数与积分变换</w:t>
      </w:r>
    </w:p>
    <w:p w14:paraId="2E4229D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（一）课程特点</w:t>
      </w:r>
    </w:p>
    <w:p w14:paraId="31EF5D32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本课程可视为“精简版”微积分，多为先前所学知识的综合运用。微分、积分等运算规则与定积分略有差异，但解题套路基本一致。</w:t>
      </w:r>
    </w:p>
    <w:p w14:paraId="18349A6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（二）备考策略</w:t>
      </w:r>
    </w:p>
    <w:p w14:paraId="55A22D2F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课件中的例题已覆盖考核范围，考题一般不会超出课件；建议购置历年真题进行系统练习，本课程可实现快速通关。试卷最后一道题为证明题，难度可能较大；建议熟记教材第三章（柯西相关章节）中的公式，即便无法完整作答，亦可默写公式获得部分分数。</w:t>
      </w:r>
    </w:p>
    <w:p w14:paraId="4E6DC6E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五、离散数学</w:t>
      </w:r>
    </w:p>
    <w:p w14:paraId="16326C07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本课程难度较低。根据考核经验，考题基本取自“盛银”老师课件中的例题，建议将课件全部例题熟记于心。本人后续将整理并发布离散数学学习笔记，内容较为完整，可据此系统背诵。</w:t>
      </w:r>
    </w:p>
    <w:p w14:paraId="13AE92F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六、电路测试实验</w:t>
      </w:r>
    </w:p>
    <w:p w14:paraId="51F0CAE5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实验考试最后一道题涉及复阻抗，综合性较强，建议考前赴实验室独立完成该实验一次。同时，应掌握理论解法（需使用卡西欧计算器）；若实际操作确有困难，可先计算理论结果，再据理论结果整理实验数据，该方法经本人实践验证可行。</w:t>
      </w:r>
    </w:p>
    <w:p w14:paraId="7DA631E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结语</w:t>
      </w:r>
    </w:p>
    <w:p w14:paraId="7D8177D5">
      <w:pPr>
        <w:ind w:firstLine="64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学习成效取决于方法与坚持并重。建议读者依据本指南明确各课程重点，合理安排复习节奏，并在学习过程中及时复盘、动态调整，预祝取得理想成绩。</w:t>
      </w:r>
    </w:p>
    <w:p w14:paraId="5C594194">
      <w:pPr>
        <w:spacing w:line="576" w:lineRule="exact"/>
        <w:rPr>
          <w:rFonts w:hint="default" w:ascii="Times New Roman" w:hAnsi="Times New Roman" w:eastAsia="宋体" w:cs="Times New Roman"/>
        </w:rPr>
      </w:pPr>
    </w:p>
    <w:p w14:paraId="5CD70DF2">
      <w:pPr>
        <w:ind w:rightChars="400"/>
        <w:jc w:val="righ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华中科技大学人工智能与自动化学院自动化2401班</w:t>
      </w:r>
    </w:p>
    <w:p w14:paraId="203B55C7">
      <w:pPr>
        <w:ind w:rightChars="400"/>
        <w:jc w:val="righ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周乃弘</w:t>
      </w:r>
    </w:p>
    <w:p w14:paraId="1C15F2D6">
      <w:pPr>
        <w:ind w:rightChars="400"/>
        <w:jc w:val="right"/>
        <w:rPr>
          <w:rFonts w:hint="default" w:ascii="Times New Roman" w:hAnsi="Times New Roman" w:eastAsia="宋体" w:cs="Times New Roma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32"/>
          <w:szCs w:val="32"/>
        </w:rPr>
        <w:t>2026年9月10日</w:t>
      </w:r>
    </w:p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2694A">
    <w:pPr>
      <w:pStyle w:val="24"/>
      <w:jc w:val="center"/>
    </w:pPr>
    <w:r>
      <w:rPr>
        <w:rFonts w:ascii="Arial" w:hAnsi="Arial" w:eastAsia="宋体"/>
        <w:sz w:val="28"/>
        <w:szCs w:val="28"/>
      </w:rPr>
      <w:t>—</w:t>
    </w:r>
    <w:r>
      <w:rPr>
        <w:rFonts w:ascii="Arial" w:hAnsi="Arial" w:eastAsia="宋体"/>
        <w:sz w:val="28"/>
        <w:szCs w:val="28"/>
      </w:rPr>
      <w:fldChar w:fldCharType="begin"/>
    </w:r>
    <w:r>
      <w:rPr>
        <w:rFonts w:ascii="Arial" w:hAnsi="Arial" w:eastAsia="宋体"/>
        <w:sz w:val="28"/>
        <w:szCs w:val="28"/>
      </w:rPr>
      <w:instrText xml:space="preserve"> PAGE </w:instrText>
    </w:r>
    <w:r>
      <w:rPr>
        <w:rFonts w:ascii="Arial" w:hAnsi="Arial" w:eastAsia="宋体"/>
        <w:sz w:val="28"/>
        <w:szCs w:val="28"/>
      </w:rPr>
      <w:fldChar w:fldCharType="end"/>
    </w:r>
    <w:r>
      <w:rPr>
        <w:rFonts w:ascii="Arial" w:hAnsi="Arial" w:eastAsia="宋体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46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76" w:lineRule="exact"/>
      <w:jc w:val="both"/>
    </w:pPr>
    <w:rPr>
      <w:rFonts w:ascii="Arial" w:hAnsi="Arial" w:eastAsia="仿宋" w:cstheme="minorBidi"/>
      <w:sz w:val="32"/>
      <w:szCs w:val="3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576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576" w:lineRule="exact"/>
      <w:outlineLvl w:val="1"/>
    </w:pPr>
    <w:rPr>
      <w:rFonts w:asciiTheme="majorHAnsi" w:hAnsiTheme="majorHAnsi" w:eastAsiaTheme="majorEastAsia" w:cstheme="majorBidi"/>
      <w:color w:val="000000"/>
      <w:sz w:val="32"/>
      <w:szCs w:val="32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0" w:after="0" w:line="576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20" w:line="240" w:lineRule="auto"/>
      <w:jc w:val="center"/>
    </w:pPr>
    <w:rPr>
      <w:rFonts w:ascii="Arial" w:hAnsi="Arial" w:eastAsia="仿宋"/>
      <w:color w:val="000000"/>
      <w:sz w:val="24"/>
      <w:szCs w:val="24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576" w:line="576" w:lineRule="exact"/>
      <w:contextualSpacing/>
      <w:jc w:val="center"/>
    </w:pPr>
    <w:rPr>
      <w:rFonts w:asciiTheme="majorHAnsi" w:hAnsiTheme="majorHAnsi" w:eastAsiaTheme="majorEastAsia" w:cstheme="majorBidi"/>
      <w:b/>
      <w:bCs/>
      <w:color w:val="000000"/>
      <w:spacing w:val="5"/>
      <w:kern w:val="28"/>
      <w:sz w:val="44"/>
      <w:szCs w:val="44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1898</Words>
  <Characters>1987</Characters>
  <Lines>0</Lines>
  <Paragraphs>0</Paragraphs>
  <TotalTime>0</TotalTime>
  <ScaleCrop>false</ScaleCrop>
  <LinksUpToDate>false</LinksUpToDate>
  <CharactersWithSpaces>2003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周乃弘</dc:creator>
  <cp:lastModifiedBy>周乃弘</cp:lastModifiedBy>
  <dcterms:modified xsi:type="dcterms:W3CDTF">2026-09-10T10:05:55Z</dcterms:modified>
  <dc:title>自动化大二上学期课程学习指南（润色版）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eyJoZGlkIjoiMzEwNTM5NzYwMDRjMzkwZTVkZjY2ODkwMGIxNGU0OTUiLCJ1c2VySWQiOiIxODIwMjIxMDE0In0=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2B92F467252E4051ABA768F31BBBE06F_12</vt:lpwstr>
  </property>
</Properties>
</file>