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61AE" w:rsidRPr="00AD4921" w:rsidRDefault="00000000" w:rsidP="00AD4921">
      <w:pPr>
        <w:widowControl/>
        <w:spacing w:after="60" w:line="300" w:lineRule="auto"/>
        <w:rPr>
          <w:rFonts w:ascii="Calibri" w:eastAsiaTheme="minorEastAsia" w:hAnsi="Calibri" w:cstheme="minorBidi"/>
          <w:b/>
          <w:color w:val="1F4D78"/>
          <w:sz w:val="48"/>
          <w:lang w:eastAsia="en-US"/>
        </w:rPr>
      </w:pPr>
      <w:r w:rsidRPr="00AD4921">
        <w:rPr>
          <w:rFonts w:ascii="Calibri" w:eastAsiaTheme="minorEastAsia" w:hAnsi="Calibri" w:cstheme="minorBidi"/>
          <w:b/>
          <w:color w:val="1F4D78"/>
          <w:sz w:val="48"/>
          <w:lang w:eastAsia="en-US"/>
        </w:rPr>
        <w:t>DOCUMENTO DE ARQUITECTURA DE INFORMACIÓN</w:t>
      </w:r>
    </w:p>
    <w:p w14:paraId="00000002" w14:textId="77777777" w:rsidR="001261AE" w:rsidRPr="00AD4921" w:rsidRDefault="00000000" w:rsidP="00AD4921">
      <w:pPr>
        <w:widowControl/>
        <w:spacing w:after="240" w:line="300" w:lineRule="auto"/>
        <w:rPr>
          <w:rFonts w:ascii="Calibri" w:eastAsiaTheme="minorEastAsia" w:hAnsi="Calibri" w:cstheme="minorBidi"/>
          <w:color w:val="657487"/>
          <w:sz w:val="26"/>
          <w:lang w:eastAsia="en-US"/>
        </w:rPr>
      </w:pPr>
      <w:r w:rsidRPr="00AD4921">
        <w:rPr>
          <w:rFonts w:ascii="Calibri" w:eastAsiaTheme="minorEastAsia" w:hAnsi="Calibri" w:cstheme="minorBidi"/>
          <w:color w:val="657487"/>
          <w:sz w:val="26"/>
          <w:lang w:eastAsia="en-US"/>
        </w:rPr>
        <w:t>MAPAS DE NAVEGACIÓN Y FLUJOS DE USUARIO</w:t>
      </w:r>
    </w:p>
    <w:p w14:paraId="00000003" w14:textId="77777777" w:rsidR="001261AE" w:rsidRDefault="001261AE">
      <w:pPr>
        <w:pBdr>
          <w:top w:val="nil"/>
          <w:left w:val="nil"/>
          <w:bottom w:val="nil"/>
          <w:right w:val="nil"/>
          <w:between w:val="nil"/>
        </w:pBdr>
      </w:pPr>
    </w:p>
    <w:p w14:paraId="0EAE7B9B" w14:textId="77777777" w:rsidR="00AD4921" w:rsidRPr="00AD4921" w:rsidRDefault="00AD4921" w:rsidP="00AD4921">
      <w:pPr>
        <w:widowControl/>
        <w:spacing w:after="40" w:line="300" w:lineRule="auto"/>
        <w:rPr>
          <w:rFonts w:ascii="Calibri" w:eastAsiaTheme="minorEastAsia" w:hAnsi="Calibri" w:cstheme="minorBidi"/>
          <w:color w:val="243447"/>
          <w:lang w:eastAsia="en-US"/>
        </w:rPr>
      </w:pPr>
      <w:r w:rsidRPr="00AD4921">
        <w:rPr>
          <w:rFonts w:ascii="Calibri" w:eastAsiaTheme="minorEastAsia" w:hAnsi="Calibri" w:cstheme="minorBidi"/>
          <w:b/>
          <w:color w:val="243447"/>
          <w:sz w:val="20"/>
          <w:lang w:eastAsia="en-US"/>
        </w:rPr>
        <w:t xml:space="preserve">Versión: </w:t>
      </w:r>
      <w:r w:rsidRPr="00AD4921">
        <w:rPr>
          <w:rFonts w:ascii="Calibri" w:eastAsiaTheme="minorEastAsia" w:hAnsi="Calibri" w:cstheme="minorBidi"/>
          <w:color w:val="243447"/>
          <w:sz w:val="20"/>
          <w:lang w:eastAsia="en-US"/>
        </w:rPr>
        <w:t>1.0</w:t>
      </w:r>
    </w:p>
    <w:p w14:paraId="56C8A241" w14:textId="77777777" w:rsidR="00AD4921" w:rsidRPr="00AD4921" w:rsidRDefault="00AD4921" w:rsidP="00AD4921">
      <w:pPr>
        <w:widowControl/>
        <w:spacing w:after="40" w:line="300" w:lineRule="auto"/>
        <w:rPr>
          <w:rFonts w:ascii="Calibri" w:eastAsiaTheme="minorEastAsia" w:hAnsi="Calibri" w:cstheme="minorBidi"/>
          <w:color w:val="243447"/>
          <w:lang w:eastAsia="en-US"/>
        </w:rPr>
      </w:pPr>
      <w:r w:rsidRPr="00AD4921">
        <w:rPr>
          <w:rFonts w:ascii="Calibri" w:eastAsiaTheme="minorEastAsia" w:hAnsi="Calibri" w:cstheme="minorBidi"/>
          <w:b/>
          <w:color w:val="243447"/>
          <w:sz w:val="20"/>
          <w:lang w:eastAsia="en-US"/>
        </w:rPr>
        <w:t xml:space="preserve">Estado: </w:t>
      </w:r>
      <w:r w:rsidRPr="00AD4921">
        <w:rPr>
          <w:rFonts w:ascii="Calibri" w:eastAsiaTheme="minorEastAsia" w:hAnsi="Calibri" w:cstheme="minorBidi"/>
          <w:color w:val="243447"/>
          <w:sz w:val="20"/>
          <w:lang w:eastAsia="en-US"/>
        </w:rPr>
        <w:t>Oficial</w:t>
      </w:r>
    </w:p>
    <w:p w14:paraId="00000008" w14:textId="3469208A" w:rsidR="001261AE" w:rsidRDefault="00000000" w:rsidP="00AD4921">
      <w:pPr>
        <w:widowControl/>
        <w:spacing w:after="40" w:line="300" w:lineRule="auto"/>
        <w:rPr>
          <w:rFonts w:ascii="Calibri" w:eastAsiaTheme="minorEastAsia" w:hAnsi="Calibri" w:cstheme="minorBidi"/>
          <w:bCs/>
          <w:color w:val="243447"/>
          <w:sz w:val="20"/>
          <w:lang w:eastAsia="en-US"/>
        </w:rPr>
      </w:pPr>
      <w:r w:rsidRPr="00AD4921">
        <w:rPr>
          <w:rFonts w:ascii="Calibri" w:eastAsiaTheme="minorEastAsia" w:hAnsi="Calibri" w:cstheme="minorBidi"/>
          <w:b/>
          <w:color w:val="243447"/>
          <w:sz w:val="20"/>
          <w:lang w:eastAsia="en-US"/>
        </w:rPr>
        <w:t xml:space="preserve">Base documental: </w:t>
      </w:r>
      <w:r w:rsidRPr="00EA5F15">
        <w:rPr>
          <w:rFonts w:ascii="Calibri" w:eastAsiaTheme="minorEastAsia" w:hAnsi="Calibri" w:cstheme="minorBidi"/>
          <w:bCs/>
          <w:color w:val="243447"/>
          <w:sz w:val="20"/>
          <w:lang w:eastAsia="en-US"/>
        </w:rPr>
        <w:t>06_Requisitos_Funcionales; 08_REQUISITOS_INTERACCION_UX</w:t>
      </w:r>
    </w:p>
    <w:p w14:paraId="7E716A9F" w14:textId="4EDB28F4" w:rsidR="00EA5F15" w:rsidRPr="00EA5F15" w:rsidRDefault="00EA5F15" w:rsidP="00AD4921">
      <w:pPr>
        <w:widowControl/>
        <w:spacing w:after="40" w:line="300" w:lineRule="auto"/>
        <w:rPr>
          <w:rFonts w:ascii="Calibri" w:eastAsiaTheme="minorEastAsia" w:hAnsi="Calibri" w:cstheme="minorBidi"/>
          <w:bCs/>
          <w:color w:val="243447"/>
          <w:sz w:val="20"/>
          <w:lang w:eastAsia="en-US"/>
        </w:rPr>
      </w:pPr>
      <w:r w:rsidRPr="00EA5F15">
        <w:rPr>
          <w:rFonts w:ascii="Calibri" w:eastAsiaTheme="minorEastAsia" w:hAnsi="Calibri" w:cstheme="minorBidi"/>
          <w:b/>
          <w:color w:val="243447"/>
          <w:sz w:val="20"/>
          <w:lang w:eastAsia="en-US"/>
        </w:rPr>
        <w:t>Contenido:</w:t>
      </w:r>
      <w:r>
        <w:rPr>
          <w:rFonts w:ascii="Calibri" w:eastAsiaTheme="minorEastAsia" w:hAnsi="Calibri" w:cstheme="minorBidi"/>
          <w:b/>
          <w:color w:val="243447"/>
          <w:sz w:val="20"/>
          <w:lang w:eastAsia="en-US"/>
        </w:rPr>
        <w:t xml:space="preserve"> </w:t>
      </w:r>
      <w:r w:rsidR="00557960" w:rsidRPr="00557960">
        <w:rPr>
          <w:rFonts w:ascii="Calibri" w:eastAsiaTheme="minorEastAsia" w:hAnsi="Calibri" w:cstheme="minorBidi"/>
          <w:bCs/>
          <w:color w:val="243447"/>
          <w:sz w:val="20"/>
          <w:lang w:eastAsia="en-US"/>
        </w:rPr>
        <w:t>Estructura jerárquica del sitio (</w:t>
      </w:r>
      <w:proofErr w:type="spellStart"/>
      <w:r w:rsidR="00557960" w:rsidRPr="00557960">
        <w:rPr>
          <w:rFonts w:ascii="Calibri" w:eastAsiaTheme="minorEastAsia" w:hAnsi="Calibri" w:cstheme="minorBidi"/>
          <w:bCs/>
          <w:color w:val="243447"/>
          <w:sz w:val="20"/>
          <w:lang w:eastAsia="en-US"/>
        </w:rPr>
        <w:t>Sitemap</w:t>
      </w:r>
      <w:proofErr w:type="spellEnd"/>
      <w:r w:rsidR="00557960" w:rsidRPr="00557960">
        <w:rPr>
          <w:rFonts w:ascii="Calibri" w:eastAsiaTheme="minorEastAsia" w:hAnsi="Calibri" w:cstheme="minorBidi"/>
          <w:bCs/>
          <w:color w:val="243447"/>
          <w:sz w:val="20"/>
          <w:lang w:eastAsia="en-US"/>
        </w:rPr>
        <w:t>) y diagramas de flujo de usuario (</w:t>
      </w:r>
      <w:proofErr w:type="spellStart"/>
      <w:r w:rsidR="00557960" w:rsidRPr="00557960">
        <w:rPr>
          <w:rFonts w:ascii="Calibri" w:eastAsiaTheme="minorEastAsia" w:hAnsi="Calibri" w:cstheme="minorBidi"/>
          <w:bCs/>
          <w:color w:val="243447"/>
          <w:sz w:val="20"/>
          <w:lang w:eastAsia="en-US"/>
        </w:rPr>
        <w:t>User</w:t>
      </w:r>
      <w:proofErr w:type="spellEnd"/>
      <w:r w:rsidR="00557960" w:rsidRPr="00557960">
        <w:rPr>
          <w:rFonts w:ascii="Calibri" w:eastAsiaTheme="minorEastAsia" w:hAnsi="Calibri" w:cstheme="minorBidi"/>
          <w:bCs/>
          <w:color w:val="243447"/>
          <w:sz w:val="20"/>
          <w:lang w:eastAsia="en-US"/>
        </w:rPr>
        <w:t xml:space="preserve"> </w:t>
      </w:r>
      <w:proofErr w:type="spellStart"/>
      <w:r w:rsidR="00557960" w:rsidRPr="00557960">
        <w:rPr>
          <w:rFonts w:ascii="Calibri" w:eastAsiaTheme="minorEastAsia" w:hAnsi="Calibri" w:cstheme="minorBidi"/>
          <w:bCs/>
          <w:color w:val="243447"/>
          <w:sz w:val="20"/>
          <w:lang w:eastAsia="en-US"/>
        </w:rPr>
        <w:t>Flows</w:t>
      </w:r>
      <w:proofErr w:type="spellEnd"/>
      <w:r w:rsidR="00557960" w:rsidRPr="00557960">
        <w:rPr>
          <w:rFonts w:ascii="Calibri" w:eastAsiaTheme="minorEastAsia" w:hAnsi="Calibri" w:cstheme="minorBidi"/>
          <w:bCs/>
          <w:color w:val="243447"/>
          <w:sz w:val="20"/>
          <w:lang w:eastAsia="en-US"/>
        </w:rPr>
        <w:t>) para perfiles público, asesor y superadministrador.</w:t>
      </w:r>
    </w:p>
    <w:p w14:paraId="0EFF9403" w14:textId="77777777" w:rsidR="00EA5F15" w:rsidRPr="00AD4921" w:rsidRDefault="00EA5F15" w:rsidP="00AD4921">
      <w:pPr>
        <w:widowControl/>
        <w:spacing w:after="40" w:line="300" w:lineRule="auto"/>
        <w:rPr>
          <w:rFonts w:ascii="Calibri" w:eastAsiaTheme="minorEastAsia" w:hAnsi="Calibri" w:cstheme="minorBidi"/>
          <w:b/>
          <w:color w:val="243447"/>
          <w:sz w:val="20"/>
          <w:lang w:eastAsia="en-US"/>
        </w:rPr>
      </w:pPr>
    </w:p>
    <w:p w14:paraId="00000009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1. Propósito</w:t>
      </w:r>
    </w:p>
    <w:p w14:paraId="0000000A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Este documento define la estructura jerárquica de la aplicación (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Sitemap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) y los recorridos lógicos (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User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Flows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) que realizarán los distintos perfiles de usuario. Los flujos garantizan el cumplimiento de la retroalimentación visual estipulada en los requerimientos RUX-004 y RUX-005 antes de su traslación a prototipos de alta fidelidad.</w:t>
      </w:r>
    </w:p>
    <w:p w14:paraId="0000000B" w14:textId="77777777" w:rsidR="001261AE" w:rsidRDefault="001261A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0C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2. Mapa de Navegación General (</w:t>
      </w:r>
      <w:proofErr w:type="spellStart"/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Sitemap</w:t>
      </w:r>
      <w:proofErr w:type="spellEnd"/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)</w:t>
      </w:r>
    </w:p>
    <w:p w14:paraId="0000000D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La plataforma se divide en tres ecosistemas de navegación según los privilegios de autenticación (RF-004). Basado en el diagrama de jerarquía visual (Ver Figura 1 en Anexos), el árbol de navegación se estructura de la siguiente manera:</w:t>
      </w:r>
    </w:p>
    <w:p w14:paraId="0000000E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Público (Prospectos):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Inicio / Landing, Catálogo de Propiedades, Detalle de Inmueble,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Chatbot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Asistente.</w:t>
      </w:r>
    </w:p>
    <w:p w14:paraId="0000000F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Asesores (Protegido):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Autenticación,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Dashboard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Central, Gestión de Inventario, Planes y Suscripción, Centro de Mensajes.</w:t>
      </w:r>
    </w:p>
    <w:p w14:paraId="00000010" w14:textId="19569F4F" w:rsidR="00AD4921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proofErr w:type="spellStart"/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Superadmin</w:t>
      </w:r>
      <w:proofErr w:type="spellEnd"/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 xml:space="preserve"> (Protegido):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Gestión de Cuentas, Auditoría de Publicaciones.</w:t>
      </w:r>
    </w:p>
    <w:p w14:paraId="00000011" w14:textId="63B47780" w:rsidR="001261AE" w:rsidRDefault="00AD4921" w:rsidP="00557960">
      <w:r>
        <w:br w:type="page"/>
      </w:r>
    </w:p>
    <w:p w14:paraId="00000013" w14:textId="68325B21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lastRenderedPageBreak/>
        <w:t>3. Flujos de Usuario (</w:t>
      </w:r>
      <w:proofErr w:type="spellStart"/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User</w:t>
      </w:r>
      <w:proofErr w:type="spellEnd"/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 xml:space="preserve"> </w:t>
      </w:r>
      <w:proofErr w:type="spellStart"/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Flows</w:t>
      </w:r>
      <w:proofErr w:type="spellEnd"/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)</w:t>
      </w:r>
    </w:p>
    <w:p w14:paraId="00000014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3.1 Flujo de Autenticación y Enrutamiento Base</w:t>
      </w:r>
    </w:p>
    <w:p w14:paraId="00000015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Describe el proceso de validación de identidad a través de la Single Page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Application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(SPA). (Ver Figura 2 en Anexos)</w:t>
      </w:r>
    </w:p>
    <w:p w14:paraId="00000016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Ingreso: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El usuario introduce correo y contraseña en la Pantalla de Autenticación SPA.</w:t>
      </w:r>
    </w:p>
    <w:p w14:paraId="00000017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Validación Front-End: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Si el formato es inválido, se renderiza un error contextual (RUX-004). Si es válido, se ejecuta una petición POST a la API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RESTful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.</w:t>
      </w:r>
    </w:p>
    <w:p w14:paraId="00000018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Respuesta del Servidor: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Un código 401 genera una notificación de error en la UI, mientras que un código 200 HTTP permite la recepción del Token JWT.</w:t>
      </w:r>
    </w:p>
    <w:p w14:paraId="00000019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Enrutamiento por Rol:</w:t>
      </w:r>
    </w:p>
    <w:p w14:paraId="0000001A" w14:textId="77777777" w:rsidR="001261AE" w:rsidRPr="00EA5F15" w:rsidRDefault="00000000" w:rsidP="00EA5F15">
      <w:pPr>
        <w:pStyle w:val="Ttulo1"/>
        <w:keepNext/>
        <w:keepLines/>
        <w:widowControl/>
        <w:numPr>
          <w:ilvl w:val="1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proofErr w:type="spellStart"/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Superadmin</w:t>
      </w:r>
      <w:proofErr w:type="spellEnd"/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 xml:space="preserve">: 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Desbloqueo de rutas administrativas y redirección al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Dashboard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de Auditoría y Cuentas.</w:t>
      </w:r>
    </w:p>
    <w:p w14:paraId="0000001B" w14:textId="77777777" w:rsidR="001261AE" w:rsidRPr="00EA5F15" w:rsidRDefault="00000000" w:rsidP="00EA5F15">
      <w:pPr>
        <w:pStyle w:val="Ttulo1"/>
        <w:keepNext/>
        <w:keepLines/>
        <w:widowControl/>
        <w:numPr>
          <w:ilvl w:val="1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Asesor: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Evaluación de estado de suscripción para dirigir al flujo de acreditación o al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Dashboard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Central de Inventario.</w:t>
      </w:r>
    </w:p>
    <w:p w14:paraId="0000001C" w14:textId="77777777" w:rsidR="001261AE" w:rsidRPr="00EA5F15" w:rsidRDefault="00000000" w:rsidP="00EA5F15">
      <w:pPr>
        <w:pStyle w:val="Ttulo1"/>
        <w:keepNext/>
        <w:keepLines/>
        <w:widowControl/>
        <w:numPr>
          <w:ilvl w:val="1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Prospecto Público: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Carga de preferencias y redirección al Catálogo o Interfaz de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Chatbot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.</w:t>
      </w:r>
    </w:p>
    <w:p w14:paraId="0000001D" w14:textId="77777777" w:rsidR="001261AE" w:rsidRDefault="001261AE" w:rsidP="00EA5F15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1E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3.2 Flujo de Acreditación y Suscripción</w:t>
      </w:r>
    </w:p>
    <w:p w14:paraId="0000001F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Cubre desde el registro inicial del Asesor hasta el desbloqueo de funciones tras la evaluación de su estado de cuenta (RF-002, RF-006, RF-009). (Ver Figura 3 en Anexos)</w:t>
      </w:r>
    </w:p>
    <w:p w14:paraId="00000020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 xml:space="preserve">Validación: 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Tras el ingreso de credenciales, la API emite un JWT y evalúa el estado de cuenta.</w:t>
      </w:r>
    </w:p>
    <w:p w14:paraId="00000021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Nuevo Ingreso: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Despliega un Formulario Dinámico de Perfil, seguido de una carga de identificación (Drag and Drop). Los datos se guardan quedando en una Pantalla de Espera Informativa por aprobación administrativa.</w:t>
      </w:r>
    </w:p>
    <w:p w14:paraId="00000022" w14:textId="109C8671" w:rsidR="00AD4921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Pendiente de Pago: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Se renderiza la Pasarela de Pago para el procesamiento transaccional, culminando en una redirección segura al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Dashboard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una vez validada la cuenta.</w:t>
      </w:r>
    </w:p>
    <w:p w14:paraId="00000023" w14:textId="2145D832" w:rsidR="001261AE" w:rsidRDefault="00AD4921" w:rsidP="00AD4921">
      <w:r>
        <w:br w:type="page"/>
      </w:r>
    </w:p>
    <w:p w14:paraId="00000024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lastRenderedPageBreak/>
        <w:t>3.3 Flujo de Publicación de Propiedad</w:t>
      </w:r>
    </w:p>
    <w:p w14:paraId="00000025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Describe la interacción del asesor al dar de alta un inmueble, aplicando los requerimientos de validación visual contextual (RUX-004) y retroalimentación de carga (RUX-005). (Ver Figura 4 en Anexos)</w:t>
      </w:r>
    </w:p>
    <w:p w14:paraId="00000026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Captura de Datos: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Desde el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Dashboard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del Asesor, se abre un Formulario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Multistep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SPA.</w:t>
      </w:r>
    </w:p>
    <w:p w14:paraId="00000027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Validación Local (RUX-004):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Si los campos son inválidos, se resaltan los inputs con errores. Si son válidos, se pasa al área de carga multimedia Drag &amp; Drop y se optimizan las imágenes localmente.</w:t>
      </w:r>
    </w:p>
    <w:p w14:paraId="00000028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 xml:space="preserve">Petición y Carga (RUX-005): 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Se envía la petición POST a la API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RESTful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. Si el tiempo de respuesta supera los 2 segundos, se muestra una animación de barra de progreso (RUX-005).</w:t>
      </w:r>
    </w:p>
    <w:p w14:paraId="00000029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 xml:space="preserve">Resolución: 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Un código 201 HTTP limpia el estado global de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React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y muestra una notificación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Toast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de éxito. Un código 400/500 levanta un modal de error y permite reintento.</w:t>
      </w:r>
    </w:p>
    <w:p w14:paraId="0000002A" w14:textId="77777777" w:rsidR="001261AE" w:rsidRDefault="001261AE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2B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3.4 Flujo de Búsqueda Conversacional</w:t>
      </w:r>
    </w:p>
    <w:p w14:paraId="0000002C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Aborda la experiencia del prospecto al utilizar el Asistente Inteligente desde el catálogo público (RF-023, RF-027). (Ver Figura 5 en Anexos)</w:t>
      </w:r>
    </w:p>
    <w:p w14:paraId="0000002D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 xml:space="preserve">Conexión </w:t>
      </w:r>
      <w:proofErr w:type="spellStart"/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WebSockets</w:t>
      </w:r>
      <w:proofErr w:type="spellEnd"/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Se inicializa un 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handshake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desde el widget del asistente. Si hay intermitencia, se muestra un indicador de reconexión (RUX-014); si falla, se activa el buscador tradicional (</w:t>
      </w:r>
      <w:proofErr w:type="spellStart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fallback</w:t>
      </w:r>
      <w:proofErr w:type="spellEnd"/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).</w:t>
      </w:r>
    </w:p>
    <w:p w14:paraId="0000002E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 xml:space="preserve">Interacción NLP: 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>Con conexión activa, el usuario ingresa consultas procesadas vía NLP en el servidor.</w:t>
      </w:r>
    </w:p>
    <w:p w14:paraId="0000002F" w14:textId="77777777" w:rsidR="001261AE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Respuesta y Despliegue: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Se realiza un streaming de respuesta en texto acompañado de la inyección dinámica de tarjetas de propiedad.</w:t>
      </w:r>
    </w:p>
    <w:p w14:paraId="00000030" w14:textId="1EB9DDFD" w:rsidR="00AD4921" w:rsidRPr="00EA5F15" w:rsidRDefault="00000000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color w:val="243447"/>
          <w:sz w:val="22"/>
          <w:szCs w:val="22"/>
          <w:lang w:eastAsia="en-US"/>
        </w:rPr>
        <w:t>Transición:</w:t>
      </w: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t xml:space="preserve"> El prospecto selecciona un inmueble para ver el detalle en modal, lo que habilita la transición al chat interno directo con el asesor.</w:t>
      </w:r>
    </w:p>
    <w:p w14:paraId="1D9D761F" w14:textId="30F38E58" w:rsidR="00AD4921" w:rsidRPr="00EA5F15" w:rsidRDefault="00AD4921" w:rsidP="00EA5F15">
      <w:pPr>
        <w:pStyle w:val="Ttulo1"/>
        <w:keepNext/>
        <w:keepLines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ind w:left="714" w:hanging="357"/>
        <w:contextualSpacing/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</w:pPr>
      <w:r w:rsidRPr="00EA5F15">
        <w:rPr>
          <w:rFonts w:ascii="Calibri" w:eastAsiaTheme="minorEastAsia" w:hAnsi="Calibri" w:cstheme="minorBidi"/>
          <w:b w:val="0"/>
          <w:bCs w:val="0"/>
          <w:color w:val="243447"/>
          <w:sz w:val="22"/>
          <w:szCs w:val="22"/>
          <w:lang w:eastAsia="en-US"/>
        </w:rPr>
        <w:br w:type="page"/>
      </w:r>
    </w:p>
    <w:p w14:paraId="29FD37A9" w14:textId="150D5779" w:rsidR="00AD4921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lastRenderedPageBreak/>
        <w:t>ANEXOS: DIAGRAMAS Y MAPAS DE NAVEGACIÓN</w:t>
      </w:r>
    </w:p>
    <w:p w14:paraId="00000034" w14:textId="08E6BC71" w:rsidR="001261AE" w:rsidRPr="00EA5F15" w:rsidRDefault="00AD4921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drawing>
          <wp:anchor distT="0" distB="0" distL="114300" distR="114300" simplePos="0" relativeHeight="251660288" behindDoc="0" locked="0" layoutInCell="1" allowOverlap="1" wp14:anchorId="73B6E4F4" wp14:editId="198CFB7E">
            <wp:simplePos x="0" y="0"/>
            <wp:positionH relativeFrom="margin">
              <wp:align>center</wp:align>
            </wp:positionH>
            <wp:positionV relativeFrom="paragraph">
              <wp:posOffset>527988</wp:posOffset>
            </wp:positionV>
            <wp:extent cx="3732530" cy="6168390"/>
            <wp:effectExtent l="0" t="0" r="1270" b="3810"/>
            <wp:wrapTopAndBottom/>
            <wp:docPr id="124526223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616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Figura 1: Mapa de Navegación General (</w:t>
      </w:r>
      <w:proofErr w:type="spellStart"/>
      <w:r w:rsidR="00000000"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Sitemap</w:t>
      </w:r>
      <w:proofErr w:type="spellEnd"/>
      <w:r w:rsidR="00000000"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)</w:t>
      </w:r>
    </w:p>
    <w:p w14:paraId="020B8EE3" w14:textId="61800FB0" w:rsidR="00AD4921" w:rsidRDefault="00AD4921" w:rsidP="00AD4921">
      <w:pPr>
        <w:rPr>
          <w:i/>
          <w:iCs/>
        </w:rPr>
      </w:pPr>
    </w:p>
    <w:p w14:paraId="00000037" w14:textId="4C1E7588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lastRenderedPageBreak/>
        <w:t>Figura 2: Flujo de Autenticación y Enrutamiento Base</w:t>
      </w:r>
    </w:p>
    <w:p w14:paraId="00000039" w14:textId="7BD3A099" w:rsidR="001261AE" w:rsidRDefault="00AD4921" w:rsidP="00AD492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02611E64" wp14:editId="289FE7D1">
            <wp:extent cx="3762375" cy="7569139"/>
            <wp:effectExtent l="0" t="0" r="0" b="0"/>
            <wp:docPr id="9660076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487" cy="758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C" w14:textId="614F8EB7" w:rsidR="001261AE" w:rsidRPr="00EA5F15" w:rsidRDefault="00AD4921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lastRenderedPageBreak/>
        <w:drawing>
          <wp:anchor distT="0" distB="0" distL="114300" distR="114300" simplePos="0" relativeHeight="251658240" behindDoc="0" locked="0" layoutInCell="1" allowOverlap="1" wp14:anchorId="59A91BC4" wp14:editId="7A6C5258">
            <wp:simplePos x="0" y="0"/>
            <wp:positionH relativeFrom="margin">
              <wp:align>center</wp:align>
            </wp:positionH>
            <wp:positionV relativeFrom="paragraph">
              <wp:posOffset>483717</wp:posOffset>
            </wp:positionV>
            <wp:extent cx="2893113" cy="7743648"/>
            <wp:effectExtent l="0" t="0" r="2540" b="0"/>
            <wp:wrapTopAndBottom/>
            <wp:docPr id="3288058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113" cy="774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Figura 3: Flujo de Acreditación y Suscripción</w:t>
      </w:r>
    </w:p>
    <w:p w14:paraId="0000003D" w14:textId="58010ABC" w:rsidR="001261AE" w:rsidRPr="00EA5F15" w:rsidRDefault="00AD4921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42C9242D" wp14:editId="13608F76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2540635" cy="7536180"/>
            <wp:effectExtent l="0" t="0" r="0" b="7620"/>
            <wp:wrapTopAndBottom/>
            <wp:docPr id="4650086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753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t>Figura 4: Flujo de Publicación de Propiedad</w:t>
      </w:r>
    </w:p>
    <w:p w14:paraId="0000003F" w14:textId="0CB7C6B5" w:rsidR="001261AE" w:rsidRDefault="001261A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</w:rPr>
      </w:pPr>
    </w:p>
    <w:p w14:paraId="00000040" w14:textId="77777777" w:rsidR="001261AE" w:rsidRPr="00EA5F15" w:rsidRDefault="00000000" w:rsidP="00EA5F15">
      <w:pPr>
        <w:pStyle w:val="Ttulo1"/>
        <w:keepNext/>
        <w:keepLines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360" w:after="200" w:line="300" w:lineRule="auto"/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</w:pPr>
      <w:r w:rsidRPr="00EA5F15">
        <w:rPr>
          <w:rFonts w:asciiTheme="majorHAnsi" w:eastAsiaTheme="majorEastAsia" w:hAnsiTheme="majorHAnsi" w:cstheme="majorBidi"/>
          <w:color w:val="2E74B5"/>
          <w:sz w:val="32"/>
          <w:szCs w:val="28"/>
          <w:lang w:eastAsia="en-US"/>
        </w:rPr>
        <w:lastRenderedPageBreak/>
        <w:t>Figura 5: Flujo de Búsqueda Conversacional</w:t>
      </w:r>
    </w:p>
    <w:p w14:paraId="00000041" w14:textId="3D9102C3" w:rsidR="001261AE" w:rsidRDefault="00AD4921" w:rsidP="00AD492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31177CFB" wp14:editId="401226A0">
            <wp:extent cx="3165088" cy="7274257"/>
            <wp:effectExtent l="0" t="0" r="0" b="3175"/>
            <wp:docPr id="20656397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366" cy="728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61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D39B63-438E-481B-8DBD-57AF9CFC0A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827217-D0D7-4B6F-8F85-E71DA12B35E1}"/>
    <w:embedBold r:id="rId3" w:fontKey="{B0D06A7A-5E97-4B00-8020-E4E211991B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40F19F-71B3-442A-8FE6-4E26EFB41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9F2"/>
    <w:multiLevelType w:val="multilevel"/>
    <w:tmpl w:val="837823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4100CC"/>
    <w:multiLevelType w:val="multilevel"/>
    <w:tmpl w:val="7F4888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18062B"/>
    <w:multiLevelType w:val="multilevel"/>
    <w:tmpl w:val="AD2844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D34E8D"/>
    <w:multiLevelType w:val="multilevel"/>
    <w:tmpl w:val="49FCE0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CFB2A42"/>
    <w:multiLevelType w:val="hybridMultilevel"/>
    <w:tmpl w:val="E37C9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D3B8E"/>
    <w:multiLevelType w:val="multilevel"/>
    <w:tmpl w:val="CF1028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24E69E9"/>
    <w:multiLevelType w:val="multilevel"/>
    <w:tmpl w:val="9B14B9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6AD16D6"/>
    <w:multiLevelType w:val="multilevel"/>
    <w:tmpl w:val="701C77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8300895">
    <w:abstractNumId w:val="3"/>
  </w:num>
  <w:num w:numId="2" w16cid:durableId="185753178">
    <w:abstractNumId w:val="7"/>
  </w:num>
  <w:num w:numId="3" w16cid:durableId="583731210">
    <w:abstractNumId w:val="1"/>
  </w:num>
  <w:num w:numId="4" w16cid:durableId="2085251611">
    <w:abstractNumId w:val="2"/>
  </w:num>
  <w:num w:numId="5" w16cid:durableId="636572898">
    <w:abstractNumId w:val="5"/>
  </w:num>
  <w:num w:numId="6" w16cid:durableId="2083789601">
    <w:abstractNumId w:val="0"/>
  </w:num>
  <w:num w:numId="7" w16cid:durableId="1431464397">
    <w:abstractNumId w:val="6"/>
  </w:num>
  <w:num w:numId="8" w16cid:durableId="1872065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1AE"/>
    <w:rsid w:val="001261AE"/>
    <w:rsid w:val="00557960"/>
    <w:rsid w:val="00811CAD"/>
    <w:rsid w:val="00AD4921"/>
    <w:rsid w:val="00EA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64C1"/>
  <w15:docId w15:val="{0BAAB360-7DC6-4FE9-A6A4-B204BE0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A5F15"/>
    <w:rPr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JAVIER  FLORES MENA</cp:lastModifiedBy>
  <cp:revision>3</cp:revision>
  <dcterms:created xsi:type="dcterms:W3CDTF">2026-08-31T22:26:00Z</dcterms:created>
  <dcterms:modified xsi:type="dcterms:W3CDTF">2026-08-31T22:50:00Z</dcterms:modified>
</cp:coreProperties>
</file>