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 w:eastAsia="PingFang SC" w:cs="PingFang SC"/>
          <w:b/>
          <w:color w:val="17324D"/>
          <w:sz w:val="52"/>
        </w:rPr>
        <w:t>智能体互联网治理</w:t>
      </w:r>
    </w:p>
    <w:p>
      <w:pPr>
        <w:spacing w:after="360"/>
        <w:jc w:val="center"/>
      </w:pPr>
      <w:r>
        <w:rPr>
          <w:rFonts w:ascii="Calibri" w:hAnsi="Calibri" w:eastAsia="PingFang SC" w:cs="PingFang SC"/>
          <w:b/>
          <w:color w:val="2E5E8C"/>
          <w:sz w:val="44"/>
        </w:rPr>
        <w:t>交互技术架构与产业实践研究报告</w:t>
      </w:r>
    </w:p>
    <w:p>
      <w:pPr>
        <w:spacing w:after="840"/>
        <w:jc w:val="center"/>
      </w:pPr>
      <w:r>
        <w:rPr>
          <w:rFonts w:ascii="Calibri" w:hAnsi="Calibri" w:eastAsia="PingFang SC" w:cs="PingFang SC"/>
          <w:b w:val="0"/>
          <w:color w:val="666666"/>
          <w:sz w:val="28"/>
        </w:rPr>
        <w:t>——基于 Agent Base 开源项目的治理实践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</w:tcPr>
          <w:p>
            <w:pPr>
              <w:spacing w:after="60"/>
            </w:pPr>
            <w:r>
              <w:rPr>
                <w:rFonts w:ascii="Calibri" w:hAnsi="Calibri" w:eastAsia="PingFang SC" w:cs="PingFang SC"/>
                <w:b/>
                <w:color w:val="17324D"/>
                <w:sz w:val="20"/>
              </w:rPr>
              <w:t xml:space="preserve">项目定位  </w:t>
            </w:r>
            <w:r>
              <w:rPr>
                <w:rFonts w:ascii="Calibri" w:hAnsi="Calibri" w:eastAsia="PingFang SC" w:cs="PingFang SC"/>
                <w:b w:val="0"/>
                <w:color w:val="222222"/>
                <w:sz w:val="20"/>
              </w:rPr>
              <w:t>面向 AI 原生 Web 应用开发的底座框架，以提示词与技能、MCP/CLI 接入、标准微服务模板和 ATH 可信握手协议支撑智能体安全调用业务能力。</w:t>
            </w:r>
          </w:p>
        </w:tc>
      </w:tr>
    </w:tbl>
    <w:p>
      <w:pPr>
        <w:spacing w:after="40"/>
      </w:pPr>
    </w:p>
    <w:p/>
    <w:p/>
    <w:p/>
    <w:p/>
    <w:p>
      <w:pPr>
        <w:jc w:val="center"/>
      </w:pPr>
      <w:r>
        <w:rPr>
          <w:rFonts w:ascii="Calibri" w:hAnsi="Calibri" w:eastAsia="PingFang SC" w:cs="PingFang SC"/>
          <w:b/>
          <w:color w:val="17324D"/>
          <w:sz w:val="24"/>
        </w:rPr>
        <w:t>Agent Base 开源项目团队</w:t>
      </w:r>
    </w:p>
    <w:p>
      <w:pPr>
        <w:jc w:val="center"/>
      </w:pPr>
      <w:r>
        <w:rPr>
          <w:rFonts w:ascii="Calibri" w:hAnsi="Calibri" w:eastAsia="PingFang SC" w:cs="PingFang SC"/>
          <w:b w:val="0"/>
          <w:color w:val="666666"/>
          <w:sz w:val="22"/>
        </w:rPr>
        <w:t>2026 年 6 月</w:t>
      </w:r>
    </w:p>
    <w:p>
      <w:r>
        <w:br w:type="page"/>
      </w:r>
    </w:p>
    <w:p>
      <w:pPr>
        <w:pStyle w:val="Heading1"/>
        <w:keepNext/>
      </w:pPr>
      <w:r>
        <w:t>报告摘要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大模型与智能体正从信息问答工具转变为连接用户、应用、数据、工具与设备的行动入口。交互链路由“人—系统”扩展为“人—智能体—工具—服务—数据”的多主体协作网络，身份、授权、上下文、调用结果与责任边界因此成为新的治理对象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本报告依据《智能体互联网治理交互技术架构与产业实践研究报告（2026）》大纲，以 Agent Base 项目为实践样本，系统分析智能体互联网交互技术、产业生态、风险类型与治理能力，并总结 ATH（Agent Trust Handshake）协议在用户服务中的实现经验。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研究认为，智能体交互治理应形成覆盖接入前、运行中和事后环节的闭环：接入前实现主体可识别、工具可登记、能力可发现；运行中实现请求可校验、权限可约束、敏感动作可确认、异常可阻断；事后实现链路可还原、行为可审计、责任可追溯。Agent Base 已完成用户服务、OAuth 2.0 和 ATH 核心流程，但 MCP Server、CLI、多服务能力目录、动态策略、限流与完整注册验签仍需持续建设。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</w:tcPr>
          <w:p>
            <w:pPr>
              <w:spacing w:after="60"/>
            </w:pPr>
            <w:r>
              <w:rPr>
                <w:rFonts w:ascii="Calibri" w:hAnsi="Calibri" w:eastAsia="PingFang SC" w:cs="PingFang SC"/>
                <w:b/>
                <w:color w:val="17324D"/>
                <w:sz w:val="20"/>
              </w:rPr>
              <w:t xml:space="preserve">核心结论  </w:t>
            </w:r>
            <w:r>
              <w:rPr>
                <w:rFonts w:ascii="Calibri" w:hAnsi="Calibri" w:eastAsia="PingFang SC" w:cs="PingFang SC"/>
                <w:b w:val="0"/>
                <w:color w:val="222222"/>
                <w:sz w:val="20"/>
              </w:rPr>
              <w:t>ATH 展示了“智能体身份声明 + 用户授权 + 服务端最小权限 + 统一代理 + 可吊销凭证”的可行路径；下一阶段应优先补齐注册阶段完整 ES256 验签、细粒度代理白名单、结构化审计和自动化负向测试。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项目概况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项目要素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项目名称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Agent Base</w:t>
            </w:r>
          </w:p>
        </w:tc>
      </w:tr>
      <w:tr>
        <w:trPr>
          <w:cantSplit/>
        </w:trPr>
        <w:tc>
          <w:tcPr>
            <w:tcW w:type="dxa" w:w="18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项目性质</w:t>
            </w:r>
          </w:p>
        </w:tc>
        <w:tc>
          <w:tcPr>
            <w:tcW w:type="dxa" w:w="7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AI 原生 Web 应用开发底座框架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核心模块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prompts、skills、mcp、cli、services</w:t>
            </w:r>
          </w:p>
        </w:tc>
      </w:tr>
      <w:tr>
        <w:trPr>
          <w:cantSplit/>
        </w:trPr>
        <w:tc>
          <w:tcPr>
            <w:tcW w:type="dxa" w:w="18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已落地能力</w:t>
            </w:r>
          </w:p>
        </w:tc>
        <w:tc>
          <w:tcPr>
            <w:tcW w:type="dxa" w:w="7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user-service、用户注册登录、JWT、OAuth 2.0、ATH 协议、Swagger、Docker/Kubernetes 部署材料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规划能力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MCP Server 核心实现、CLI 发布、文件/消息/权限服务、多语言 SDK</w:t>
            </w:r>
          </w:p>
        </w:tc>
      </w:tr>
      <w:tr>
        <w:trPr>
          <w:cantSplit/>
        </w:trPr>
        <w:tc>
          <w:tcPr>
            <w:tcW w:type="dxa" w:w="18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技术栈</w:t>
            </w:r>
          </w:p>
        </w:tc>
        <w:tc>
          <w:tcPr>
            <w:tcW w:type="dxa" w:w="7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Go、Gin、PostgreSQL、Redis、JWT、bcrypt、OAuth 2.0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目录</w:t>
      </w:r>
    </w:p>
    <w:p>
      <w:pPr>
        <w:spacing w:before="0" w:after="60" w:line="324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一、智能体互联网交互发展概述</w:t>
      </w:r>
    </w:p>
    <w:p>
      <w:pPr>
        <w:spacing w:before="0" w:after="60" w:line="324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二、智能体互联网交互风险分析</w:t>
      </w:r>
    </w:p>
    <w:p>
      <w:pPr>
        <w:spacing w:before="0" w:after="60" w:line="324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三、智能体互联网交互治理能力体系建设</w:t>
      </w:r>
    </w:p>
    <w:p>
      <w:pPr>
        <w:spacing w:before="0" w:after="60" w:line="324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四、交互治理产业实践与典型应用场景</w:t>
      </w:r>
    </w:p>
    <w:p>
      <w:pPr>
        <w:spacing w:before="0" w:after="60" w:line="324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五、智能体互联网交互治理发展展望</w:t>
      </w:r>
    </w:p>
    <w:p>
      <w:pPr>
        <w:spacing w:before="0" w:after="60" w:line="324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附录：Agent Base 能力状态与证据索引</w:t>
      </w:r>
    </w:p>
    <w:p>
      <w:r>
        <w:br w:type="page"/>
      </w:r>
    </w:p>
    <w:p>
      <w:pPr>
        <w:pStyle w:val="Heading1"/>
        <w:keepNext/>
      </w:pPr>
      <w:r>
        <w:t>一、智能体互联网交互发展概述</w:t>
      </w:r>
    </w:p>
    <w:p>
      <w:pPr>
        <w:pStyle w:val="Heading2"/>
        <w:keepNext/>
      </w:pPr>
      <w:r>
        <w:t>（一）交互技术发展</w:t>
      </w:r>
    </w:p>
    <w:p>
      <w:pPr>
        <w:pStyle w:val="Heading3"/>
        <w:keepNext/>
      </w:pPr>
      <w:r>
        <w:t>1. 交互技术架构与关键能力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智能体互联网交互并非单一模型能力，而是一套把意图理解、任务编排、工具发现、身份认证、授权决策、接口调用、数据流转和结果反馈串联起来的系统工程。与传统 API 集成相比，智能体具有更强的自主决策和跨系统组合能力，治理控制点必须从单个接口扩展到完整调用链。</w:t>
      </w:r>
    </w:p>
    <w:tbl>
      <w:tblPr>
        <w:tblStyle w:val="TableGrid"/>
        <w:tblW w:type="dxa" w:w="82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</w:tblGrid>
      <w:tr>
        <w:trPr>
          <w:cantSplit/>
        </w:trPr>
        <w:tc>
          <w:tcPr>
            <w:tcW w:type="dxa" w:w="8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21"/>
              </w:rPr>
              <w:t>用户与智能体入口层</w:t>
              <w:br/>
            </w:r>
            <w:r>
              <w:rPr>
                <w:rFonts w:ascii="Calibri" w:hAnsi="Calibri" w:eastAsia="PingFang SC" w:cs="PingFang SC"/>
                <w:b w:val="0"/>
                <w:color w:val="FFFFFF"/>
                <w:sz w:val="19"/>
              </w:rPr>
              <w:t>CLI、IDE 插件、多模态入口、第三方 AI Agent</w:t>
            </w:r>
          </w:p>
        </w:tc>
      </w:tr>
    </w:tbl>
    <w:p>
      <w:pPr>
        <w:spacing w:after="0"/>
        <w:jc w:val="center"/>
      </w:pPr>
      <w:r>
        <w:rPr>
          <w:rFonts w:ascii="Calibri" w:hAnsi="Calibri" w:eastAsia="PingFang SC" w:cs="PingFang SC"/>
          <w:b/>
          <w:color w:val="2E5E8C"/>
          <w:sz w:val="24"/>
        </w:rPr>
        <w:t>↓</w:t>
      </w:r>
    </w:p>
    <w:tbl>
      <w:tblPr>
        <w:tblStyle w:val="TableGrid"/>
        <w:tblW w:type="dxa" w:w="82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</w:tblGrid>
      <w:tr>
        <w:trPr>
          <w:cantSplit/>
        </w:trPr>
        <w:tc>
          <w:tcPr>
            <w:tcW w:type="dxa" w:w="8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17324D"/>
                <w:sz w:val="21"/>
              </w:rPr>
              <w:t>意图与任务编排层</w:t>
              <w:br/>
            </w:r>
            <w:r>
              <w:rPr>
                <w:rFonts w:ascii="Calibri" w:hAnsi="Calibri" w:eastAsia="PingFang SC" w:cs="PingFang SC"/>
                <w:b w:val="0"/>
                <w:color w:val="333333"/>
                <w:sz w:val="19"/>
              </w:rPr>
              <w:t>提示词与 Skill 定义、任务拆解、能力选择、用户确认</w:t>
            </w:r>
          </w:p>
        </w:tc>
      </w:tr>
    </w:tbl>
    <w:p>
      <w:pPr>
        <w:spacing w:after="0"/>
        <w:jc w:val="center"/>
      </w:pPr>
      <w:r>
        <w:rPr>
          <w:rFonts w:ascii="Calibri" w:hAnsi="Calibri" w:eastAsia="PingFang SC" w:cs="PingFang SC"/>
          <w:b/>
          <w:color w:val="2E5E8C"/>
          <w:sz w:val="24"/>
        </w:rPr>
        <w:t>↓</w:t>
      </w:r>
    </w:p>
    <w:tbl>
      <w:tblPr>
        <w:tblStyle w:val="TableGrid"/>
        <w:tblW w:type="dxa" w:w="82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</w:tblGrid>
      <w:tr>
        <w:trPr>
          <w:cantSplit/>
        </w:trPr>
        <w:tc>
          <w:tcPr>
            <w:tcW w:type="dxa" w:w="8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21"/>
              </w:rPr>
              <w:t>可信交互协议层</w:t>
              <w:br/>
            </w:r>
            <w:r>
              <w:rPr>
                <w:rFonts w:ascii="Calibri" w:hAnsi="Calibri" w:eastAsia="PingFang SC" w:cs="PingFang SC"/>
                <w:b w:val="0"/>
                <w:color w:val="FFFFFF"/>
                <w:sz w:val="19"/>
              </w:rPr>
              <w:t>MCP（规划建设）+ ATH（已在 user-service 落地）</w:t>
            </w:r>
          </w:p>
        </w:tc>
      </w:tr>
    </w:tbl>
    <w:p>
      <w:pPr>
        <w:spacing w:after="0"/>
        <w:jc w:val="center"/>
      </w:pPr>
      <w:r>
        <w:rPr>
          <w:rFonts w:ascii="Calibri" w:hAnsi="Calibri" w:eastAsia="PingFang SC" w:cs="PingFang SC"/>
          <w:b/>
          <w:color w:val="2E5E8C"/>
          <w:sz w:val="24"/>
        </w:rPr>
        <w:t>↓</w:t>
      </w:r>
    </w:p>
    <w:tbl>
      <w:tblPr>
        <w:tblStyle w:val="TableGrid"/>
        <w:tblW w:type="dxa" w:w="82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</w:tblGrid>
      <w:tr>
        <w:trPr>
          <w:cantSplit/>
        </w:trPr>
        <w:tc>
          <w:tcPr>
            <w:tcW w:type="dxa" w:w="8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17324D"/>
                <w:sz w:val="21"/>
              </w:rPr>
              <w:t>治理与服务层</w:t>
              <w:br/>
            </w:r>
            <w:r>
              <w:rPr>
                <w:rFonts w:ascii="Calibri" w:hAnsi="Calibri" w:eastAsia="PingFang SC" w:cs="PingFang SC"/>
                <w:b w:val="0"/>
                <w:color w:val="333333"/>
                <w:sz w:val="19"/>
              </w:rPr>
              <w:t>统一代理、身份认证、Scope 授权、参数校验、Token 吊销、审计</w:t>
            </w:r>
          </w:p>
        </w:tc>
      </w:tr>
    </w:tbl>
    <w:p>
      <w:pPr>
        <w:spacing w:after="0"/>
        <w:jc w:val="center"/>
      </w:pPr>
      <w:r>
        <w:rPr>
          <w:rFonts w:ascii="Calibri" w:hAnsi="Calibri" w:eastAsia="PingFang SC" w:cs="PingFang SC"/>
          <w:b/>
          <w:color w:val="2E5E8C"/>
          <w:sz w:val="24"/>
        </w:rPr>
        <w:t>↓</w:t>
      </w:r>
    </w:p>
    <w:tbl>
      <w:tblPr>
        <w:tblStyle w:val="TableGrid"/>
        <w:tblW w:type="dxa" w:w="82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</w:tblGrid>
      <w:tr>
        <w:trPr>
          <w:cantSplit/>
        </w:trPr>
        <w:tc>
          <w:tcPr>
            <w:tcW w:type="dxa" w:w="8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21"/>
              </w:rPr>
              <w:t>数据与能力层</w:t>
              <w:br/>
            </w:r>
            <w:r>
              <w:rPr>
                <w:rFonts w:ascii="Calibri" w:hAnsi="Calibri" w:eastAsia="PingFang SC" w:cs="PingFang SC"/>
                <w:b w:val="0"/>
                <w:color w:val="FFFFFF"/>
                <w:sz w:val="19"/>
              </w:rPr>
              <w:t>PostgreSQL、Redis、用户 API、OAuth；文件/消息/权限服务规划中</w:t>
            </w:r>
          </w:p>
        </w:tc>
      </w:tr>
    </w:tbl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Agent Base 将业务知识沉淀在 prompts/ 与 skills/，将标准化调用入口规划在 mcp/ 与 cli/，并以 services/ 提供可复用的微服务模板。当前 user-service 已形成“用户身份—OAuth 授权—ATH 智能体授权—代理调用”的核心闭环。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200"/>
        <w:gridCol w:w="2200"/>
        <w:gridCol w:w="4400"/>
        <w:gridCol w:w="15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能力域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治理目标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Agent Base 对应能力</w:t>
            </w:r>
          </w:p>
        </w:tc>
        <w:tc>
          <w:tcPr>
            <w:tcW w:type="dxa" w:w="1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用户入口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统一身份入口与用户授权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注册、登录、JWT、OAuth 授权页</w:t>
            </w:r>
          </w:p>
        </w:tc>
        <w:tc>
          <w:tcPr>
            <w:tcW w:type="dxa" w:w="1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任务编排</w:t>
            </w:r>
          </w:p>
        </w:tc>
        <w:tc>
          <w:tcPr>
            <w:tcW w:type="dxa" w:w="2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将意图约束为可审核调用</w:t>
            </w:r>
          </w:p>
        </w:tc>
        <w:tc>
          <w:tcPr>
            <w:tcW w:type="dxa" w:w="44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Skill 定义；ATH proxy 统一入口</w:t>
            </w:r>
          </w:p>
        </w:tc>
        <w:tc>
          <w:tcPr>
            <w:tcW w:type="dxa" w:w="1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部分实现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工具调用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可发现、可授权、可阻断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ATH 发现文档、Provider 与 Scope</w:t>
            </w:r>
          </w:p>
        </w:tc>
        <w:tc>
          <w:tcPr>
            <w:tcW w:type="dxa" w:w="1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已实现核心</w:t>
            </w:r>
          </w:p>
        </w:tc>
      </w:tr>
      <w:tr>
        <w:trPr>
          <w:cantSplit/>
        </w:trPr>
        <w:tc>
          <w:tcPr>
            <w:tcW w:type="dxa" w:w="1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协议适配</w:t>
            </w:r>
          </w:p>
        </w:tc>
        <w:tc>
          <w:tcPr>
            <w:tcW w:type="dxa" w:w="2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兼容通用协议并扩展 Agent 身份</w:t>
            </w:r>
          </w:p>
        </w:tc>
        <w:tc>
          <w:tcPr>
            <w:tcW w:type="dxa" w:w="44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OAuth 2.0 + ATH</w:t>
            </w:r>
          </w:p>
        </w:tc>
        <w:tc>
          <w:tcPr>
            <w:tcW w:type="dxa" w:w="1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已实现核心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端云协同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本地入口与云端服务可信连接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CLI、MCP Server</w:t>
            </w:r>
          </w:p>
        </w:tc>
        <w:tc>
          <w:tcPr>
            <w:tcW w:type="dxa" w:w="1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数据流转</w:t>
            </w:r>
          </w:p>
        </w:tc>
        <w:tc>
          <w:tcPr>
            <w:tcW w:type="dxa" w:w="2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最小化、隔离、可追溯</w:t>
            </w:r>
          </w:p>
        </w:tc>
        <w:tc>
          <w:tcPr>
            <w:tcW w:type="dxa" w:w="44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JWT/ATH Token、Redis Session、日志</w:t>
            </w:r>
          </w:p>
        </w:tc>
        <w:tc>
          <w:tcPr>
            <w:tcW w:type="dxa" w:w="1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部分实现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2. 交互协议与工具调用能力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MCP 面向模型与外部上下文、资源及工具之间的标准连接，可降低智能体接入不同业务能力的适配成本。Agent Base 已为 mcp/ 预留实现位置，目标是将用户、文件、消息和权限等服务封装为平台无关的工具接口。现阶段该模块仍处于建设阶段，不应视为已经形成生产级 MCP 服务。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ATH 是项目在 user-service 中实现的智能体可信交互协议。其设计思路是在 OAuth 2.0 用户授权基础上增加 Agent 身份声明、Provider/Scope 申请、会话绑定和代理调用，从而把“谁代表谁、可调用什么、何时失效、如何追溯”纳入协议流程。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100"/>
        <w:gridCol w:w="3300"/>
        <w:gridCol w:w="49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接口/动作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主要治理作用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1 发现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GET /.well-known/ath.json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发布端点、Provider 和 Scope，形成能力目录</w:t>
            </w:r>
          </w:p>
        </w:tc>
      </w:tr>
      <w:tr>
        <w:trPr>
          <w:cantSplit/>
        </w:trPr>
        <w:tc>
          <w:tcPr>
            <w:tcW w:type="dxa" w:w="11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2 注册</w:t>
            </w:r>
          </w:p>
        </w:tc>
        <w:tc>
          <w:tcPr>
            <w:tcW w:type="dxa" w:w="33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POST /api/v1/ath/agents/register</w:t>
            </w:r>
          </w:p>
        </w:tc>
        <w:tc>
          <w:tcPr>
            <w:tcW w:type="dxa" w:w="49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提交 Attestation，登记 Agent、回调地址和申请能力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3 授权发起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POST /api/v1/ath/authorize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校验 Agent 状态并计算允许的 Scope 交集</w:t>
            </w:r>
          </w:p>
        </w:tc>
      </w:tr>
      <w:tr>
        <w:trPr>
          <w:cantSplit/>
        </w:trPr>
        <w:tc>
          <w:tcPr>
            <w:tcW w:type="dxa" w:w="11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4 用户同意</w:t>
            </w:r>
          </w:p>
        </w:tc>
        <w:tc>
          <w:tcPr>
            <w:tcW w:type="dxa" w:w="33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OAuth authorize</w:t>
            </w:r>
          </w:p>
        </w:tc>
        <w:tc>
          <w:tcPr>
            <w:tcW w:type="dxa" w:w="49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由用户显式确认访问范围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5 Token 交换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POST /api/v1/ath/token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将授权码与 ATH Session 绑定并签发 Token</w:t>
            </w:r>
          </w:p>
        </w:tc>
      </w:tr>
      <w:tr>
        <w:trPr>
          <w:cantSplit/>
        </w:trPr>
        <w:tc>
          <w:tcPr>
            <w:tcW w:type="dxa" w:w="11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6 代理调用</w:t>
            </w:r>
          </w:p>
        </w:tc>
        <w:tc>
          <w:tcPr>
            <w:tcW w:type="dxa" w:w="33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POST /api/v1/ath/proxy</w:t>
            </w:r>
          </w:p>
        </w:tc>
        <w:tc>
          <w:tcPr>
            <w:tcW w:type="dxa" w:w="49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校验 Token、Provider、Scope 后调用受控能力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7 吊销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POST /api/v1/ath/revoke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将 Token 加入撤销列表，终止后续访问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3. 技术成熟度与发展难点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从项目实现看，用户身份、OAuth、ATH 路由、Scope 控制、Redis 会话和 Token 吊销已具备代码基础；但整体仍处于面向开发验证的早期阶段。特别是 ATH 注册处理器中存在“MVP 阶段跳过完整 ES256 验签”的代码说明，目前主要完成格式解析与 JTI 重放检查。该差距意味着“公钥绑定的强身份认证”尚未在注册入口完整闭环。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2500"/>
        <w:gridCol w:w="2400"/>
        <w:gridCol w:w="29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难点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当前表现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治理影响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跨平台身份互认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ATH 为项目自研协议，生态适配有限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Agent 身份难跨平台复用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形成可验证身份声明规范并建设兼容层</w:t>
            </w:r>
          </w:p>
        </w:tc>
      </w:tr>
      <w:tr>
        <w:trPr>
          <w:cantSplit/>
        </w:trPr>
        <w:tc>
          <w:tcPr>
            <w:tcW w:type="dxa" w:w="15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注册验签完整性</w:t>
            </w:r>
          </w:p>
        </w:tc>
        <w:tc>
          <w:tcPr>
            <w:tcW w:type="dxa" w:w="25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注册阶段未完成完整 ES256 验签</w:t>
            </w:r>
          </w:p>
        </w:tc>
        <w:tc>
          <w:tcPr>
            <w:tcW w:type="dxa" w:w="24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可能弱化身份真实性保证</w:t>
            </w:r>
          </w:p>
        </w:tc>
        <w:tc>
          <w:tcPr>
            <w:tcW w:type="dxa" w:w="29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设为 P0，校验签名、密钥来源、aud/iss/sub 与轮换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上下文管理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当前重点在 Token/Session，长期记忆治理未覆盖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污染与跨域泄露风险仍在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增加来源标记、隔离域、保留期限和清除机制</w:t>
            </w:r>
          </w:p>
        </w:tc>
      </w:tr>
      <w:tr>
        <w:trPr>
          <w:cantSplit/>
        </w:trPr>
        <w:tc>
          <w:tcPr>
            <w:tcW w:type="dxa" w:w="15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工具代理粒度</w:t>
            </w:r>
          </w:p>
        </w:tc>
        <w:tc>
          <w:tcPr>
            <w:tcW w:type="dxa" w:w="25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已校验 Provider/Scope，业务路由范围仍需细化</w:t>
            </w:r>
          </w:p>
        </w:tc>
        <w:tc>
          <w:tcPr>
            <w:tcW w:type="dxa" w:w="24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粗粒度 Scope 可能导致过度授权</w:t>
            </w:r>
          </w:p>
        </w:tc>
        <w:tc>
          <w:tcPr>
            <w:tcW w:type="dxa" w:w="29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采用方法+路径+资源级策略与参数约束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端云协同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CLI/MCP 尚在规划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无法验证复杂设备与本地数据边界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先建设最小可用连接器和本地确认机制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（二）交互产业与应用发展</w:t>
      </w:r>
    </w:p>
    <w:p>
      <w:pPr>
        <w:pStyle w:val="Heading3"/>
        <w:keepNext/>
      </w:pPr>
      <w:r>
        <w:t>1. 交互产业生态发展情况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智能体交互生态通常由模型与平台方、云服务方、终端厂商、工具服务商、应用服务商、安全机构和行业用户共同组成。平台提供模型与编排，云侧提供算力和托管工具，终端承载用户入口与本地数据，工具和应用方提供可执行能力，安全机构承担检测、审计和认证，行业用户则决定业务授权与责任边界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Agent Base 的定位更接近“开发底座 + 可信接入网关”：通过标准服务模板保证代码一致性，通过 skills 沉淀领域知识，通过 ATH 建立 Agent 到业务系统的授权通道。其价值不在于替代模型平台，而在于为企业自有系统提供可控的智能体接入层。</w:t>
      </w:r>
    </w:p>
    <w:p>
      <w:pPr>
        <w:pStyle w:val="Heading3"/>
        <w:keepNext/>
      </w:pPr>
      <w:r>
        <w:t>2. 交互应用场景分布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交互方式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主要治理要求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企业办公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Agent 调用用户、权限、消息和文档系统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身份代理、最小授权、敏感操作确认</w:t>
            </w:r>
          </w:p>
        </w:tc>
      </w:tr>
      <w:tr>
        <w:trPr>
          <w:cantSplit/>
        </w:trPr>
        <w:tc>
          <w:tcPr>
            <w:tcW w:type="dxa" w:w="15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开发工具</w:t>
            </w:r>
          </w:p>
        </w:tc>
        <w:tc>
          <w:tcPr>
            <w:tcW w:type="dxa" w:w="39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IDE/CLI Agent 调用代码、配置和部署能力</w:t>
            </w:r>
          </w:p>
        </w:tc>
        <w:tc>
          <w:tcPr>
            <w:tcW w:type="dxa" w:w="39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本地数据边界、命令白名单、凭证隔离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云服务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多 Agent 调用云端 API 与微服务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租户隔离、动态策略、链路追踪</w:t>
            </w:r>
          </w:p>
        </w:tc>
      </w:tr>
      <w:tr>
        <w:trPr>
          <w:cantSplit/>
        </w:trPr>
        <w:tc>
          <w:tcPr>
            <w:tcW w:type="dxa" w:w="15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安全运营</w:t>
            </w:r>
          </w:p>
        </w:tc>
        <w:tc>
          <w:tcPr>
            <w:tcW w:type="dxa" w:w="39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Agent 查询资产并执行响应动作</w:t>
            </w:r>
          </w:p>
        </w:tc>
        <w:tc>
          <w:tcPr>
            <w:tcW w:type="dxa" w:w="39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高风险动作双确认、可回滚、强审计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政务与金融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Agent 辅助办理、审核与查询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实名授权、数据最小化、人工复核、留痕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3. 交互产业发展需求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统一接入：降低不同模型、插件、API 和企业系统之间的重复适配成本。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可信授权：把用户意图转换为明确、短期、可撤销的机器权限。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可组合治理：在多工具、多步骤任务中持续传播身份、权限和审计上下文。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开放生态：通过标准能力描述和测试规范促进工具互认，同时避免无边界开放。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工程落地：提供模板、SDK、测试脚本和部署方案，使治理要求可被开发团队直接采用。</w:t>
      </w:r>
    </w:p>
    <w:p>
      <w:pPr>
        <w:pStyle w:val="Heading2"/>
        <w:keepNext/>
      </w:pPr>
      <w:r>
        <w:t>（三）交互监管政策与标准</w:t>
      </w:r>
    </w:p>
    <w:p>
      <w:pPr>
        <w:pStyle w:val="Heading3"/>
        <w:keepNext/>
      </w:pPr>
      <w:r>
        <w:t>1. 政策与合规要求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智能体交互在中国境内落地时，应结合《网络安全法》《数据安全法》《个人信息保护法》以及生成式人工智能服务相关管理要求，落实合法正当必要、目的限定、最小授权、安全保障和个人权利响应。若智能体处理个人信息、跨境数据、重要数据或面向公众提供生成式服务，还需根据具体业务主体、部署方式和数据类型开展专项合规评估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对 Agent Base 而言，合规要求应转化为工程控制：将 Provider/Scope 与处理目的对应；在授权页面说明访问对象与期限；对日志执行脱敏和保留期限管理；对 Token、密钥和 Session 实施安全存储；为删除、更正、撤回授权和事件响应提供接口。</w:t>
      </w:r>
    </w:p>
    <w:p>
      <w:pPr>
        <w:pStyle w:val="Heading3"/>
        <w:keepNext/>
      </w:pPr>
      <w:r>
        <w:t>2. 标准与测评需求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当前急需围绕交互术语、参考架构、身份声明、能力发现、授权范围、敏感操作确认、审计字段、错误码和测试方法形成可互操作规范。标准化不宜只描述抽象原则，还应给出最小数据结构、协议状态机、负向测试和证据输出要求。</w:t>
      </w:r>
    </w:p>
    <w:p>
      <w:pPr>
        <w:pStyle w:val="Heading1"/>
        <w:keepNext/>
      </w:pPr>
      <w:r>
        <w:t>二、智能体互联网交互风险分析</w:t>
      </w:r>
    </w:p>
    <w:p>
      <w:pPr>
        <w:pStyle w:val="Heading2"/>
        <w:keepNext/>
      </w:pPr>
      <w:r>
        <w:t>（一）主体身份与身份互认风险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交互链路中的主体至少包括用户、Agent、开发者、工具提供方、业务服务和设备。若 Agent 身份仅依赖可伪造的名称或客户端参数，服务端无法判断调用者是否为登记主体；若不同平台对用户和 Agent 的绑定方式不一致，权限在跨平台传递时也可能失真。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Agent Base 通过 Attestation JWT、Agent 登记、client_id/client_secret 和 JTI 重放保护建立身份基础，但注册阶段完整签名验证尚待补齐。治理上应区分“声明身份”“验证身份”和“持续信任”，不能用登记成功替代后续的密钥轮换、状态检查与风险评估。</w:t>
      </w:r>
    </w:p>
    <w:p>
      <w:pPr>
        <w:pStyle w:val="Heading2"/>
        <w:keepNext/>
      </w:pPr>
      <w:r>
        <w:t>（二）权限越界与工具调用风险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智能体可能因提示理解偏差、工具描述不准确、Scope 过宽或代理规则粗放而执行超出用户意图的操作。写入、删除、转账、发布、创建凭证等动作尤其需要把“可调用接口”进一步细化为“可操作资源、可使用参数、可执行次数和有效时间”。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项目已实现 Agent 获批 Scope 与用户同意 Scope 的交集，并在 ath/proxy 校验 Token、Provider 和 Scope。这是最小权限的基础，但生产化仍需引入资源级策略、参数策略、速率限制、敏感动作二次确认和幂等/回滚机制。</w:t>
      </w:r>
    </w:p>
    <w:p>
      <w:pPr>
        <w:pStyle w:val="Heading2"/>
        <w:keepNext/>
      </w:pPr>
      <w:r>
        <w:t>（三）数据流转与上下文污染风险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智能体使用的会话、长期记忆、知识库、工具返回和端侧文件均可能携带敏感数据或恶意指令。工具返回内容若未经信任分级直接进入下一轮推理，可能形成间接提示注入；不同用户或任务的记忆混用，则可能造成跨域泄露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Agent Base 当前通过 Redis 隔离 ATH Session，并设置短期会话与 Token 生命周期，能够降低凭证长期暴露风险。后续应增加数据分类、上下文来源标签、工具结果净化、跨租户隔离、记忆保留与删除策略，以及对日志中 Token、code、个人信息的脱敏。</w:t>
      </w:r>
    </w:p>
    <w:p>
      <w:pPr>
        <w:pStyle w:val="Heading2"/>
        <w:keepNext/>
      </w:pPr>
      <w:r>
        <w:t>（四）交互链路与责任边界风险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多步骤任务可能跨越模型平台、Agent、代理网关和多个业务工具。若仅记录最终 API 请求，难以还原用户原始意图、Agent 决策、授权范围和工具结果之间的关系。链路异常时，平台方、Agent 开发者、工具方和业务运营者也可能相互推诿。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项目可通过 client_id、ath_session_id、jti、authorization code 和 request_id 串联链路，但需进一步形成统一审计事件模型，记录主体、时间、目的、输入摘要、策略决策、调用对象、结果、异常和人工确认。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60"/>
        <w:gridCol w:w="1200"/>
        <w:gridCol w:w="1000"/>
        <w:gridCol w:w="3100"/>
        <w:gridCol w:w="2300"/>
      </w:tblGrid>
      <w:tr>
        <w:trPr>
          <w:tblHeader w:val="true"/>
          <w:cantSplit/>
        </w:trPr>
        <w:tc>
          <w:tcPr>
            <w:tcW w:type="dxa" w:w="1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发生可能性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现有控制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剩余风险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Agent 身份伪造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中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高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Attestation 解析、JTI 防重放、Agent 登记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注册完整验签未闭环</w:t>
            </w:r>
          </w:p>
        </w:tc>
      </w:tr>
      <w:tr>
        <w:trPr>
          <w:cantSplit/>
        </w:trPr>
        <w:tc>
          <w:tcPr>
            <w:tcW w:type="dxa" w:w="17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Scope 越权</w:t>
            </w:r>
          </w:p>
        </w:tc>
        <w:tc>
          <w:tcPr>
            <w:tcW w:type="dxa" w:w="1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中</w:t>
            </w:r>
          </w:p>
        </w:tc>
        <w:tc>
          <w:tcPr>
            <w:tcW w:type="dxa" w:w="10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高</w:t>
            </w:r>
          </w:p>
        </w:tc>
        <w:tc>
          <w:tcPr>
            <w:tcW w:type="dxa" w:w="31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Agent 与用户 Scope 取交集、代理校验</w:t>
            </w:r>
          </w:p>
        </w:tc>
        <w:tc>
          <w:tcPr>
            <w:tcW w:type="dxa" w:w="23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资源/参数级策略不足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Token 泄露或重放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中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高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有效期、Redis 撤销、JTI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终端存储与日志脱敏需加强</w:t>
            </w:r>
          </w:p>
        </w:tc>
      </w:tr>
      <w:tr>
        <w:trPr>
          <w:cantSplit/>
        </w:trPr>
        <w:tc>
          <w:tcPr>
            <w:tcW w:type="dxa" w:w="17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提示注入影响工具调用</w:t>
            </w:r>
          </w:p>
        </w:tc>
        <w:tc>
          <w:tcPr>
            <w:tcW w:type="dxa" w:w="1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中高</w:t>
            </w:r>
          </w:p>
        </w:tc>
        <w:tc>
          <w:tcPr>
            <w:tcW w:type="dxa" w:w="10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高</w:t>
            </w:r>
          </w:p>
        </w:tc>
        <w:tc>
          <w:tcPr>
            <w:tcW w:type="dxa" w:w="31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代理入口与路径校验基础</w:t>
            </w:r>
          </w:p>
        </w:tc>
        <w:tc>
          <w:tcPr>
            <w:tcW w:type="dxa" w:w="23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上下文信任分级与内容检测不足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审计链路不完整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中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中高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服务日志、会话标识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缺少结构化事件与统一证据格式</w:t>
            </w:r>
          </w:p>
        </w:tc>
      </w:tr>
      <w:tr>
        <w:trPr>
          <w:cantSplit/>
        </w:trPr>
        <w:tc>
          <w:tcPr>
            <w:tcW w:type="dxa" w:w="17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规划能力被误认为已交付</w:t>
            </w:r>
          </w:p>
        </w:tc>
        <w:tc>
          <w:tcPr>
            <w:tcW w:type="dxa" w:w="1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中</w:t>
            </w:r>
          </w:p>
        </w:tc>
        <w:tc>
          <w:tcPr>
            <w:tcW w:type="dxa" w:w="10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中</w:t>
            </w:r>
          </w:p>
        </w:tc>
        <w:tc>
          <w:tcPr>
            <w:tcW w:type="dxa" w:w="31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README 路线图说明</w:t>
            </w:r>
          </w:p>
        </w:tc>
        <w:tc>
          <w:tcPr>
            <w:tcW w:type="dxa" w:w="23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需建立能力状态清单和发布门禁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三、智能体互联网交互治理能力体系建设</w:t>
      </w:r>
    </w:p>
    <w:p>
      <w:pPr>
        <w:pStyle w:val="Heading2"/>
        <w:keepNext/>
      </w:pPr>
      <w:r>
        <w:t>（一）交互治理总体能力框架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建议以“可识别、可授权、可管控、可审计、可追责、可协同”为总体目标，覆盖主体、对象、链路和结果四类治理对象，并按接入前、运行中、事后三个阶段部署控制。该框架既适用于 Agent Base，也可作为企业建设智能体交互网关的通用参考。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200"/>
        <w:gridCol w:w="2800"/>
        <w:gridCol w:w="3200"/>
        <w:gridCol w:w="21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关键能力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主要证据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接入前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谁可接入、可调用什么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身份审核、工具准入、能力目录、权限分级、协议适配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登记记录、密钥证明、Provider/Scope 清单</w:t>
            </w:r>
          </w:p>
        </w:tc>
      </w:tr>
      <w:tr>
        <w:trPr>
          <w:cantSplit/>
        </w:trPr>
        <w:tc>
          <w:tcPr>
            <w:tcW w:type="dxa" w:w="1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运行中</w:t>
            </w:r>
          </w:p>
        </w:tc>
        <w:tc>
          <w:tcPr>
            <w:tcW w:type="dxa" w:w="28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本次调用是否符合用户意图和策略</w:t>
            </w:r>
          </w:p>
        </w:tc>
        <w:tc>
          <w:tcPr>
            <w:tcW w:type="dxa" w:w="3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Token 校验、策略决策、参数检查、限流、确认、隔离、阻断</w:t>
            </w:r>
          </w:p>
        </w:tc>
        <w:tc>
          <w:tcPr>
            <w:tcW w:type="dxa" w:w="21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请求 ID、策略结果、确认记录、异常码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事后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发生了什么、由谁负责、如何改进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日志审计、链路还原、吊销处置、复盘与规则优化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审计事件、撤销记录、事件报告、测试结果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（二）接入前治理能力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主体身份审核：登记 Agent 开发者、Agent ID、公钥、回调地址和用途；验证签名、签发者、受众、时间与唯一标识。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工具准入：对 Provider 开展安全评估，登记接口、数据类型、风险等级、依赖关系与责任人。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能力目录：通过发现文档发布端点和 Scope，同时提供版本、状态、风险等级与变更记录。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权限分级：区分读取、写入、管理和高风险操作；默认拒绝未声明能力。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协议适配：对 OAuth、MCP、ATH 等协议建立统一身份和审计映射，避免适配层丢失安全语义。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</w:tcPr>
          <w:p>
            <w:pPr>
              <w:spacing w:after="60"/>
            </w:pPr>
            <w:r>
              <w:rPr>
                <w:rFonts w:ascii="Calibri" w:hAnsi="Calibri" w:eastAsia="PingFang SC" w:cs="PingFang SC"/>
                <w:b/>
                <w:color w:val="17324D"/>
                <w:sz w:val="20"/>
              </w:rPr>
              <w:t xml:space="preserve">Agent Base 优先项  </w:t>
            </w:r>
            <w:r>
              <w:rPr>
                <w:rFonts w:ascii="Calibri" w:hAnsi="Calibri" w:eastAsia="PingFang SC" w:cs="PingFang SC"/>
                <w:b w:val="0"/>
                <w:color w:val="222222"/>
                <w:sz w:val="20"/>
              </w:rPr>
              <w:t>将 ATHRegister 中的完整 ES256 验签从 MVP 注释转化为强制控制，并增加公钥轮换、Agent 状态吊销、audience 校验和注册审批策略。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（三）运行中管控能力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3200"/>
        <w:gridCol w:w="44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控制点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当前基础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增强要求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请求校验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Gin binding、ATH Token 解析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加入请求体大小、字段白名单、内容类型与重放检查</w:t>
            </w:r>
          </w:p>
        </w:tc>
      </w:tr>
      <w:tr>
        <w:trPr>
          <w:cantSplit/>
        </w:trPr>
        <w:tc>
          <w:tcPr>
            <w:tcW w:type="dxa" w:w="17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权限控制</w:t>
            </w:r>
          </w:p>
        </w:tc>
        <w:tc>
          <w:tcPr>
            <w:tcW w:type="dxa" w:w="3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Provider/Scope 校验</w:t>
            </w:r>
          </w:p>
        </w:tc>
        <w:tc>
          <w:tcPr>
            <w:tcW w:type="dxa" w:w="44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扩展到方法、路径、资源、参数和环境条件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敏感确认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OAuth 用户授权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对单次高风险动作展示影响范围并二次确认</w:t>
            </w:r>
          </w:p>
        </w:tc>
      </w:tr>
      <w:tr>
        <w:trPr>
          <w:cantSplit/>
        </w:trPr>
        <w:tc>
          <w:tcPr>
            <w:tcW w:type="dxa" w:w="17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调用限流</w:t>
            </w:r>
          </w:p>
        </w:tc>
        <w:tc>
          <w:tcPr>
            <w:tcW w:type="dxa" w:w="3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Redis 基础设施可用</w:t>
            </w:r>
          </w:p>
        </w:tc>
        <w:tc>
          <w:tcPr>
            <w:tcW w:type="dxa" w:w="44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按 Agent、用户、Scope、接口与风险等级限流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上下文隔离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ATH Session 独立存储并过期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增加租户、任务、记忆和工具结果隔离</w:t>
            </w:r>
          </w:p>
        </w:tc>
      </w:tr>
      <w:tr>
        <w:trPr>
          <w:cantSplit/>
        </w:trPr>
        <w:tc>
          <w:tcPr>
            <w:tcW w:type="dxa" w:w="17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异常阻断</w:t>
            </w:r>
          </w:p>
        </w:tc>
        <w:tc>
          <w:tcPr>
            <w:tcW w:type="dxa" w:w="3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错误码与 Token 撤销</w:t>
            </w:r>
          </w:p>
        </w:tc>
        <w:tc>
          <w:tcPr>
            <w:tcW w:type="dxa" w:w="44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接入风险评分、熔断、降级和人工接管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（四）事后审计与责任追溯能力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审计日志应从普通运行日志升级为结构化治理证据。每条事件至少包含 event_id、request_id、user_id、agent_id、client_id、session_id、Provider、Scope、目标资源、策略版本、授权依据、结果、耗时和风险标签。敏感字段应脱敏或摘要化，日志本身也需访问控制和完整性保护。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事件处置流程应支持按 Agent、用户、Token、Scope 或 Provider 快速冻结，并能够从异常调用回溯到注册、授权、Token 签发和代理执行。吊销接口是必要能力，但还需配套告警、调查、影响评估、用户通知和规则更新。</w:t>
      </w:r>
    </w:p>
    <w:p>
      <w:pPr>
        <w:pStyle w:val="Heading2"/>
        <w:keepNext/>
      </w:pPr>
      <w:r>
        <w:t>（五）测试评估与标准化能力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项目已有 scripts/test-ath.sh，用于演示 Discovery、Register、Authorize、Token、Proxy、Revoke 全流程。测试体系应在正向连通之外，重点扩展负向和对抗性用例。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4800"/>
        <w:gridCol w:w="296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测试域</w:t>
            </w:r>
          </w:p>
        </w:tc>
        <w:tc>
          <w:tcPr>
            <w:tcW w:type="dxa" w:w="4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关键用例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身份</w:t>
            </w:r>
          </w:p>
        </w:tc>
        <w:tc>
          <w:tcPr>
            <w:tcW w:type="dxa" w:w="4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伪造签名、过期 iat、错误 iss/sub/aud、重复 jti、密钥轮换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非法身份全部拒绝且形成审计事件</w:t>
            </w:r>
          </w:p>
        </w:tc>
      </w:tr>
      <w:tr>
        <w:trPr>
          <w:cantSplit/>
        </w:trPr>
        <w:tc>
          <w:tcPr>
            <w:tcW w:type="dxa" w:w="16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授权</w:t>
            </w:r>
          </w:p>
        </w:tc>
        <w:tc>
          <w:tcPr>
            <w:tcW w:type="dxa" w:w="48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超范围 Scope、用户拒绝、授权码复用、过期 Session</w:t>
            </w:r>
          </w:p>
        </w:tc>
        <w:tc>
          <w:tcPr>
            <w:tcW w:type="dxa" w:w="29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权限不扩大，状态机不可绕过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代理调用</w:t>
            </w:r>
          </w:p>
        </w:tc>
        <w:tc>
          <w:tcPr>
            <w:tcW w:type="dxa" w:w="4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未登记路径、错误方法、危险参数、批量调用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默认拒绝并返回稳定错误码</w:t>
            </w:r>
          </w:p>
        </w:tc>
      </w:tr>
      <w:tr>
        <w:trPr>
          <w:cantSplit/>
        </w:trPr>
        <w:tc>
          <w:tcPr>
            <w:tcW w:type="dxa" w:w="16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数据保护</w:t>
            </w:r>
          </w:p>
        </w:tc>
        <w:tc>
          <w:tcPr>
            <w:tcW w:type="dxa" w:w="48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日志泄露 Token、跨用户 Session、工具结果注入</w:t>
            </w:r>
          </w:p>
        </w:tc>
        <w:tc>
          <w:tcPr>
            <w:tcW w:type="dxa" w:w="29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敏感信息不明文泄露，上下文严格隔离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审计</w:t>
            </w:r>
          </w:p>
        </w:tc>
        <w:tc>
          <w:tcPr>
            <w:tcW w:type="dxa" w:w="4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跨步骤链路还原、吊销后调用、异常中断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证据完整、可检索、可关联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四、交互治理产业实践与典型应用场景</w:t>
      </w:r>
    </w:p>
    <w:p>
      <w:pPr>
        <w:pStyle w:val="Heading2"/>
        <w:keepNext/>
      </w:pPr>
      <w:r>
        <w:t>（一）Agent Base 工具调用与协议治理实践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在企业内部场景中，user-service 可作为智能体访问用户与 OAuth 能力的认证授权入口。Agent 先完成登记并声明 Provider/Scope，再由用户确认授权范围，随后使用 ATH Token 经 ath/proxy 调用受控接口。该模式把 Agent 的自主执行能力约束在用户同意和服务端策略的交集内。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实践价值主要体现在三方面：第一，将 Agent 身份与普通用户 Token 区分，便于单独审计和吊销；第二，以 Scope 和统一代理减少内部接口直接暴露；第三，通过发现文档和测试脚本降低接入与验证成本。</w:t>
      </w:r>
    </w:p>
    <w:p>
      <w:pPr>
        <w:pStyle w:val="Heading2"/>
        <w:keepNext/>
      </w:pPr>
      <w:r>
        <w:t>（二）用户入口与多模态交互治理实践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当前项目的成熟入口以 API、Swagger 和技能说明为主，多模态入口尚未落地。后续接入 IDE、CLI、语音或图像入口时，应保持统一身份和授权语义：入口只负责采集意图，不得自行扩大权限；对识别置信度低或涉及敏感资源的请求，应回到可读、可确认的交互界面。</w:t>
      </w:r>
    </w:p>
    <w:p>
      <w:pPr>
        <w:pStyle w:val="Heading2"/>
        <w:keepNext/>
      </w:pPr>
      <w:r>
        <w:t>（三）端云协同与设备交互治理实践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规划中的 CLI 与 MCP Server 可作为本地开发环境和云端服务之间的连接器。建议采用“本地最小采集、云端最小授权、敏感动作本地确认”的原则：代码和配置仅在任务必要范围内上传；云端 Token 不写入普通日志；执行部署、删除、凭证创建等命令前展示目标环境与影响范围。</w:t>
      </w:r>
    </w:p>
    <w:p>
      <w:pPr>
        <w:pStyle w:val="Heading2"/>
        <w:keepNext/>
      </w:pPr>
      <w:r>
        <w:t>（四）行业场景交互治理实践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4300"/>
        <w:gridCol w:w="35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行业/场景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Agent Base 适配方式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关键控制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企业办公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以用户服务和后续权限/消息服务支撑成员管理与审批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组织身份绑定、审批链、写操作确认</w:t>
            </w:r>
          </w:p>
        </w:tc>
      </w:tr>
      <w:tr>
        <w:trPr>
          <w:cantSplit/>
        </w:trPr>
        <w:tc>
          <w:tcPr>
            <w:tcW w:type="dxa" w:w="15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安全运营</w:t>
            </w:r>
          </w:p>
        </w:tc>
        <w:tc>
          <w:tcPr>
            <w:tcW w:type="dxa" w:w="43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Agent 经 ATH 访问资产和用户信息并触发处置</w:t>
            </w:r>
          </w:p>
        </w:tc>
        <w:tc>
          <w:tcPr>
            <w:tcW w:type="dxa" w:w="3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只读/处置 Scope 分离、双人复核、回滚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云原生平台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为多微服务提供统一 Agent 接入网关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租户隔离、服务目录、限流与链路追踪</w:t>
            </w:r>
          </w:p>
        </w:tc>
      </w:tr>
      <w:tr>
        <w:trPr>
          <w:cantSplit/>
        </w:trPr>
        <w:tc>
          <w:tcPr>
            <w:tcW w:type="dxa" w:w="15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开发工具</w:t>
            </w:r>
          </w:p>
        </w:tc>
        <w:tc>
          <w:tcPr>
            <w:tcW w:type="dxa" w:w="43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skills + MCP/CLI 对接 IDE Agent</w:t>
            </w:r>
          </w:p>
        </w:tc>
        <w:tc>
          <w:tcPr>
            <w:tcW w:type="dxa" w:w="3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仓库边界、命令策略、密钥隔离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政务金融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作为受控接口层连接既有业务系统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实名授权、最小数据、人工复核、长期审计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（五）交互安全评测与运营实践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建立能力台账：区分已实现、实验性、规划中和已废弃能力，避免文档与交付状态不一致。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持续负向测试：在 CI 中覆盖伪造身份、重放、越权 Scope、路径绕过、吊销后访问和异常参数。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运营监测：按 Agent、用户、Scope 和 Provider 统计调用量、失败率、拒绝率和高风险动作。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事件响应：支持批量吊销、Agent 冻结、Provider 下线、用户通知和证据导出。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版本治理：发现文档、Scope 语义和代理规则变更需版本化并提供兼容期。</w:t>
      </w:r>
    </w:p>
    <w:p>
      <w:pPr>
        <w:pStyle w:val="Heading1"/>
        <w:keepNext/>
      </w:pPr>
      <w:r>
        <w:t>五、智能体互联网交互治理发展展望</w:t>
      </w:r>
    </w:p>
    <w:p>
      <w:pPr>
        <w:pStyle w:val="Heading2"/>
        <w:keepNext/>
      </w:pPr>
      <w:r>
        <w:t>（一）交互治理技术发展展望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200"/>
        <w:gridCol w:w="3900"/>
        <w:gridCol w:w="42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发展判断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Agent Base 路线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协议化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身份、能力发现、授权和审计将形成机器可读协议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完善 ATH 状态机、兼容 OAuth/MCP 身份语义</w:t>
            </w:r>
          </w:p>
        </w:tc>
      </w:tr>
      <w:tr>
        <w:trPr>
          <w:cantSplit/>
        </w:trPr>
        <w:tc>
          <w:tcPr>
            <w:tcW w:type="dxa" w:w="1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接口化</w:t>
            </w:r>
          </w:p>
        </w:tc>
        <w:tc>
          <w:tcPr>
            <w:tcW w:type="dxa" w:w="39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治理能力将以网关、SDK 和策略 API 提供</w:t>
            </w:r>
          </w:p>
        </w:tc>
        <w:tc>
          <w:tcPr>
            <w:tcW w:type="dxa" w:w="42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建设 MCP Server 与多语言 SDK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策略化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静态 Scope 将升级为上下文感知动态授权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引入 RBAC/ABAC/风险策略引擎</w:t>
            </w:r>
          </w:p>
        </w:tc>
      </w:tr>
      <w:tr>
        <w:trPr>
          <w:cantSplit/>
        </w:trPr>
        <w:tc>
          <w:tcPr>
            <w:tcW w:type="dxa" w:w="1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可信化</w:t>
            </w:r>
          </w:p>
        </w:tc>
        <w:tc>
          <w:tcPr>
            <w:tcW w:type="dxa" w:w="39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远程证明、密钥硬件保护与可验证日志逐步应用</w:t>
            </w:r>
          </w:p>
        </w:tc>
        <w:tc>
          <w:tcPr>
            <w:tcW w:type="dxa" w:w="42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补齐完整验签，探索 TEE 与日志签名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自动化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安全测试、注册、发布和审计证据自动生成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把 ATH 负向测试纳入 CI/CD</w:t>
            </w:r>
          </w:p>
        </w:tc>
      </w:tr>
      <w:tr>
        <w:trPr>
          <w:cantSplit/>
        </w:trPr>
        <w:tc>
          <w:tcPr>
            <w:tcW w:type="dxa" w:w="12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轻量化</w:t>
            </w:r>
          </w:p>
        </w:tc>
        <w:tc>
          <w:tcPr>
            <w:tcW w:type="dxa" w:w="39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中小团队需要低门槛默认安全模板</w:t>
            </w:r>
          </w:p>
        </w:tc>
        <w:tc>
          <w:tcPr>
            <w:tcW w:type="dxa" w:w="42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提供一键部署、示例策略和参考服务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（二）交互治理产业发展展望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交互网关将成为连接模型平台与企业系统的关键基础设施，其产品边界会从认证代理扩展到工具目录、策略决策、上下文安全、调用监测和事件响应。围绕工具安全评级、Agent 身份服务、交互安全评测、审计托管和行业策略包将形成新的专业服务。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Agent Base 可沿“开源开发底座—可信交互网关—行业能力模板”路径演进：以 user-service 验证身份和授权，以 MCP/CLI 扩大工具连接，以 skills 沉淀行业规范，再通过测试与部署模板降低企业采用成本。</w:t>
      </w:r>
    </w:p>
    <w:p>
      <w:pPr>
        <w:pStyle w:val="Heading2"/>
        <w:keepNext/>
      </w:pPr>
      <w:r>
        <w:t>（三）监管与标准化展望</w:t>
      </w:r>
    </w:p>
    <w:p>
      <w:pPr>
        <w:pStyle w:val="ListNumber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参考架构：明确用户、Agent、编排器、工具、网关、数据源和设备的角色及信任边界。</w:t>
      </w:r>
    </w:p>
    <w:p>
      <w:pPr>
        <w:pStyle w:val="ListNumber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身份与授权：规定 Agent 身份声明、密钥证明、用户委托、Scope 语义、有效期和吊销机制。</w:t>
      </w:r>
    </w:p>
    <w:p>
      <w:pPr>
        <w:pStyle w:val="ListNumber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接口协议：统一能力发现、错误码、敏感操作确认、审计上下文传播和版本协商。</w:t>
      </w:r>
    </w:p>
    <w:p>
      <w:pPr>
        <w:pStyle w:val="ListNumber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测试方法：建立覆盖身份、授权、工具调用、上下文污染、数据保护和审计追溯的用例库。</w:t>
      </w:r>
    </w:p>
    <w:p>
      <w:pPr>
        <w:pStyle w:val="ListNumber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实践指南：针对企业办公、开发工具、云服务和高风险行业形成分级落地要求。</w:t>
      </w:r>
    </w:p>
    <w:p>
      <w:pPr>
        <w:pStyle w:val="ListNumber"/>
        <w:spacing w:after="80" w:line="300" w:lineRule="auto"/>
      </w:pPr>
      <w:r>
        <w:rPr>
          <w:rFonts w:ascii="Calibri" w:hAnsi="Calibri" w:eastAsia="PingFang SC" w:cs="PingFang SC"/>
          <w:b w:val="0"/>
          <w:color w:val="222222"/>
          <w:sz w:val="21"/>
        </w:rPr>
        <w:t>评估认证：依据可验证证据评估交互治理成熟度，避免只审查制度文件而忽略代码和运行效果。</w:t>
      </w:r>
    </w:p>
    <w:p>
      <w:pPr>
        <w:pStyle w:val="Heading2"/>
        <w:keepNext/>
      </w:pPr>
      <w:r>
        <w:t>（四）项目实施路线建议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000"/>
        <w:gridCol w:w="1300"/>
        <w:gridCol w:w="4500"/>
        <w:gridCol w:w="2560"/>
      </w:tblGrid>
      <w:tr>
        <w:trPr>
          <w:tblHeader w:val="true"/>
          <w:cantSplit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建设周期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重点任务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P0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近期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注册完整 ES256 验签；代理路径/方法白名单；敏感日志脱敏；补充负向测试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自动化测试、代码审查、审计样例</w:t>
            </w:r>
          </w:p>
        </w:tc>
      </w:tr>
      <w:tr>
        <w:trPr>
          <w:cantSplit/>
        </w:trPr>
        <w:tc>
          <w:tcPr>
            <w:tcW w:type="dxa" w:w="10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P1</w:t>
            </w:r>
          </w:p>
        </w:tc>
        <w:tc>
          <w:tcPr>
            <w:tcW w:type="dxa" w:w="13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中期</w:t>
            </w:r>
          </w:p>
        </w:tc>
        <w:tc>
          <w:tcPr>
            <w:tcW w:type="dxa" w:w="45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结构化审计事件；Agent/Scope 限流；动态策略；能力状态清单</w:t>
            </w:r>
          </w:p>
        </w:tc>
        <w:tc>
          <w:tcPr>
            <w:tcW w:type="dxa" w:w="2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仪表盘、策略版本、压测和越权测试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P2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中长期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MCP Server、CLI、多服务模板、多语言 SDK、端云确认机制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可运行示例、SDK 文档、跨平台互操作测试</w:t>
            </w:r>
          </w:p>
        </w:tc>
      </w:tr>
      <w:tr>
        <w:trPr>
          <w:cantSplit/>
        </w:trPr>
        <w:tc>
          <w:tcPr>
            <w:tcW w:type="dxa" w:w="10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P3</w:t>
            </w:r>
          </w:p>
        </w:tc>
        <w:tc>
          <w:tcPr>
            <w:tcW w:type="dxa" w:w="13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持续</w:t>
            </w:r>
          </w:p>
        </w:tc>
        <w:tc>
          <w:tcPr>
            <w:tcW w:type="dxa" w:w="45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行业策略包、第三方评测、标准协同、可信执行与签名日志</w:t>
            </w:r>
          </w:p>
        </w:tc>
        <w:tc>
          <w:tcPr>
            <w:tcW w:type="dxa" w:w="2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行业试点、测评报告、标准提案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附录：Agent Base 能力状态与证据索引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5000"/>
        <w:gridCol w:w="25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5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代码/材料证据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5E8C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 w:cs="PingFang SC"/>
                <w:b/>
                <w:color w:val="FFFFFF"/>
                <w:sz w:val="19"/>
              </w:rPr>
              <w:t>状态判断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项目定位与模块</w:t>
            </w:r>
          </w:p>
        </w:tc>
        <w:tc>
          <w:tcPr>
            <w:tcW w:type="dxa" w:w="5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README.MD；prompts/、skills/、mcp/、cli/、services/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目录与路线图明确</w:t>
            </w:r>
          </w:p>
        </w:tc>
      </w:tr>
      <w:tr>
        <w:trPr>
          <w:cantSplit/>
        </w:trPr>
        <w:tc>
          <w:tcPr>
            <w:tcW w:type="dxa" w:w="18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用户与 OAuth</w:t>
            </w:r>
          </w:p>
        </w:tc>
        <w:tc>
          <w:tcPr>
            <w:tcW w:type="dxa" w:w="50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services/user-service/internal/handler；routers/oauth.go；pkg/oauth</w:t>
            </w:r>
          </w:p>
        </w:tc>
        <w:tc>
          <w:tcPr>
            <w:tcW w:type="dxa" w:w="2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ATH 发现与路由</w:t>
            </w:r>
          </w:p>
        </w:tc>
        <w:tc>
          <w:tcPr>
            <w:tcW w:type="dxa" w:w="5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routers/ath.go；pkg/ath/discovery.go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8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Agent 注册与状态</w:t>
            </w:r>
          </w:p>
        </w:tc>
        <w:tc>
          <w:tcPr>
            <w:tcW w:type="dxa" w:w="50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handler/ath.go；dao/ath_agents.go；model/ath_agents.go</w:t>
            </w:r>
          </w:p>
        </w:tc>
        <w:tc>
          <w:tcPr>
            <w:tcW w:type="dxa" w:w="2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已实现基础，完整注册验签待补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Scope 授权</w:t>
            </w:r>
          </w:p>
        </w:tc>
        <w:tc>
          <w:tcPr>
            <w:tcW w:type="dxa" w:w="5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handler/ath.go 中 Scope intersection 与 proxy 校验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已实现核心</w:t>
            </w:r>
          </w:p>
        </w:tc>
      </w:tr>
      <w:tr>
        <w:trPr>
          <w:cantSplit/>
        </w:trPr>
        <w:tc>
          <w:tcPr>
            <w:tcW w:type="dxa" w:w="18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Session 与重放保护</w:t>
            </w:r>
          </w:p>
        </w:tc>
        <w:tc>
          <w:tcPr>
            <w:tcW w:type="dxa" w:w="50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pkg/ath/verify.go；Redis Session/JTI</w:t>
            </w:r>
          </w:p>
        </w:tc>
        <w:tc>
          <w:tcPr>
            <w:tcW w:type="dxa" w:w="2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已实现基础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Token 签发与吊销</w:t>
            </w:r>
          </w:p>
        </w:tc>
        <w:tc>
          <w:tcPr>
            <w:tcW w:type="dxa" w:w="5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pkg/jwt；pkg/oauth；ATH token/revoke handler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8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端到端验证</w:t>
            </w:r>
          </w:p>
        </w:tc>
        <w:tc>
          <w:tcPr>
            <w:tcW w:type="dxa" w:w="50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services/user-service/scripts/test-ath.sh</w:t>
            </w:r>
          </w:p>
        </w:tc>
        <w:tc>
          <w:tcPr>
            <w:tcW w:type="dxa" w:w="2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已提供演示脚本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MCP Server 与 CLI</w:t>
            </w:r>
          </w:p>
        </w:tc>
        <w:tc>
          <w:tcPr>
            <w:tcW w:type="dxa" w:w="5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mcp/、cli/ 目录；README 路线图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8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多服务生态</w:t>
            </w:r>
          </w:p>
        </w:tc>
        <w:tc>
          <w:tcPr>
            <w:tcW w:type="dxa" w:w="500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README 路线图中的文件、消息、权限服务</w:t>
            </w:r>
          </w:p>
        </w:tc>
        <w:tc>
          <w:tcPr>
            <w:tcW w:type="dxa" w:w="2560"/>
            <w:shd w:fill="F5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PingFang SC" w:cs="PingFang SC"/>
                <w:b w:val="0"/>
                <w:color w:val="222222"/>
                <w:sz w:val="18"/>
              </w:rPr>
              <w:t>规划中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编制说明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PingFang SC" w:cs="PingFang SC"/>
          <w:b w:val="0"/>
          <w:color w:val="222222"/>
          <w:sz w:val="21"/>
        </w:rPr>
        <w:t>本报告依据用户提供的《【报告大纲】智能体互联网治理_交互技术架.docx》编制，并结合 Agent Base 项目 README、交互治理实践材料及 user-service 代码进行事实核验。报告中的“已实现”“部分实现”“规划中”按当前仓库证据区分；行业应用与发展建议属于基于项目能力的研究判断，不代表相关能力已经完成生产部署。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 w:cs="PingFang SC"/>
        <w:b w:val="0"/>
        <w:color w:val="666666"/>
        <w:sz w:val="17"/>
      </w:rPr>
      <w:t>Agent Base 开源项目团队 · 2026 年 6 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PingFang SC" w:cs="PingFang SC"/>
        <w:b w:val="0"/>
        <w:color w:val="666666"/>
        <w:sz w:val="17"/>
      </w:rPr>
      <w:t>Agent Base | 智能体互联网交互治理研究报告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PingFang SC" w:hAnsi="PingFang SC" w:eastAsia="PingFang SC" w:cs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2E5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智能体互联网治理交互技术架构与产业实践研究报告——基于 Agent Base 开源项目的治理实践</dc:title>
  <dc:subject>Agent Base 智能体互联网交互治理</dc:subject>
  <dc:creator>Agent Base 开源项目团队</dc:creator>
  <cp:keywords>智能体互联网, 交互治理, Agent Base, ATH, MCP, OAuth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