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62B7B">
      <w:pPr>
        <w:ind w:left="-181" w:leftChars="-140" w:hanging="113" w:hangingChars="54"/>
        <w:jc w:val="left"/>
        <w:rPr>
          <w:rFonts w:eastAsia="黑体"/>
          <w:b/>
          <w:bCs/>
          <w:szCs w:val="28"/>
        </w:rPr>
      </w:pPr>
      <w:r>
        <w:rPr>
          <w:rFonts w:eastAsia="黑体"/>
          <w:b/>
          <w:bCs/>
          <w:szCs w:val="28"/>
        </w:rPr>
        <w:drawing>
          <wp:inline distT="0" distB="0" distL="0" distR="0">
            <wp:extent cx="2833370" cy="701675"/>
            <wp:effectExtent l="0" t="0" r="1270" b="1460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807" cy="70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045D72">
      <w:pPr>
        <w:ind w:left="-38" w:leftChars="-72" w:hanging="113" w:hangingChars="54"/>
        <w:jc w:val="center"/>
        <w:rPr>
          <w:rFonts w:eastAsia="黑体"/>
          <w:b/>
          <w:bCs/>
          <w:szCs w:val="28"/>
        </w:rPr>
      </w:pPr>
    </w:p>
    <w:p w14:paraId="4381186C">
      <w:pPr>
        <w:ind w:left="-38" w:leftChars="-72" w:hanging="113" w:hangingChars="54"/>
        <w:jc w:val="center"/>
        <w:rPr>
          <w:rFonts w:eastAsia="黑体"/>
          <w:b/>
          <w:bCs/>
          <w:szCs w:val="28"/>
        </w:rPr>
      </w:pPr>
    </w:p>
    <w:p w14:paraId="74ADEE3D">
      <w:pPr>
        <w:ind w:left="-38" w:leftChars="-72" w:hanging="113" w:hangingChars="54"/>
        <w:jc w:val="center"/>
        <w:rPr>
          <w:rFonts w:eastAsia="黑体"/>
          <w:b/>
          <w:bCs/>
          <w:szCs w:val="28"/>
        </w:rPr>
      </w:pPr>
    </w:p>
    <w:p w14:paraId="263586AA">
      <w:pPr>
        <w:ind w:firstLine="1446"/>
        <w:jc w:val="center"/>
        <w:rPr>
          <w:rFonts w:eastAsia="黑体"/>
          <w:b/>
          <w:sz w:val="72"/>
          <w:szCs w:val="72"/>
        </w:rPr>
      </w:pPr>
      <w:bookmarkStart w:id="0" w:name="_Toc289162219"/>
      <w:bookmarkStart w:id="1" w:name="_Toc287859804"/>
      <w:bookmarkStart w:id="2" w:name="_Toc289262799"/>
      <w:bookmarkStart w:id="3" w:name="_Toc289262427"/>
      <w:bookmarkStart w:id="4" w:name="_Toc286738840"/>
    </w:p>
    <w:bookmarkEnd w:id="0"/>
    <w:bookmarkEnd w:id="1"/>
    <w:bookmarkEnd w:id="2"/>
    <w:bookmarkEnd w:id="3"/>
    <w:bookmarkEnd w:id="4"/>
    <w:p w14:paraId="32BE8C41">
      <w:pPr>
        <w:ind w:left="0" w:leftChars="0" w:firstLine="0" w:firstLineChars="0"/>
        <w:jc w:val="center"/>
        <w:rPr>
          <w:rFonts w:hint="eastAsia"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  <w:lang w:val="en-US" w:eastAsia="zh-CN"/>
        </w:rPr>
        <w:t>智能体互联网治理</w:t>
      </w:r>
      <w:r>
        <w:rPr>
          <w:rFonts w:hint="eastAsia" w:eastAsia="黑体"/>
          <w:b/>
          <w:sz w:val="44"/>
          <w:szCs w:val="44"/>
          <w:lang w:val="en-US" w:eastAsia="zh-CN"/>
        </w:rPr>
        <w:br w:type="textWrapping"/>
      </w:r>
      <w:r>
        <w:rPr>
          <w:rFonts w:hint="eastAsia" w:eastAsia="黑体"/>
          <w:b/>
          <w:sz w:val="44"/>
          <w:szCs w:val="44"/>
          <w:lang w:val="en-US" w:eastAsia="zh-CN"/>
        </w:rPr>
        <w:t>交互技术架构与产业实践研究报告</w:t>
      </w:r>
    </w:p>
    <w:p w14:paraId="369A7530">
      <w:pPr>
        <w:ind w:left="0" w:leftChars="0" w:firstLine="0" w:firstLineChars="0"/>
        <w:jc w:val="center"/>
        <w:rPr>
          <w:rFonts w:hint="eastAsia" w:eastAsia="黑体"/>
          <w:b/>
          <w:sz w:val="44"/>
          <w:szCs w:val="44"/>
        </w:rPr>
      </w:pPr>
      <w:r>
        <w:rPr>
          <w:rFonts w:hint="eastAsia" w:eastAsia="黑体"/>
          <w:b/>
          <w:sz w:val="44"/>
          <w:szCs w:val="44"/>
        </w:rPr>
        <w:t>（2026年）</w:t>
      </w:r>
    </w:p>
    <w:p w14:paraId="6817CB3A">
      <w:pPr>
        <w:ind w:left="0" w:leftChars="0" w:firstLine="0" w:firstLineChars="0"/>
        <w:jc w:val="center"/>
        <w:rPr>
          <w:rFonts w:hint="eastAsia" w:eastAsia="黑体"/>
          <w:b/>
          <w:sz w:val="44"/>
          <w:szCs w:val="44"/>
        </w:rPr>
      </w:pPr>
    </w:p>
    <w:p w14:paraId="048117F5">
      <w:pPr>
        <w:ind w:firstLine="562"/>
        <w:rPr>
          <w:rFonts w:eastAsia="黑体"/>
          <w:b/>
          <w:bCs/>
          <w:szCs w:val="28"/>
        </w:rPr>
      </w:pPr>
    </w:p>
    <w:p w14:paraId="40C6F50E">
      <w:pPr>
        <w:ind w:right="-6" w:rightChars="-3" w:firstLine="723"/>
        <w:jc w:val="center"/>
        <w:rPr>
          <w:rFonts w:eastAsia="黑体"/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云计算开源产业联盟</w:t>
      </w:r>
    </w:p>
    <w:p w14:paraId="18477068">
      <w:pPr>
        <w:ind w:right="-6" w:rightChars="-3" w:firstLine="720"/>
        <w:rPr>
          <w:rFonts w:eastAsiaTheme="minorEastAsia"/>
          <w:b/>
          <w:bCs/>
          <w:sz w:val="36"/>
          <w:szCs w:val="44"/>
        </w:rPr>
      </w:pPr>
    </w:p>
    <w:p w14:paraId="07EC339D">
      <w:pPr>
        <w:ind w:left="-38" w:leftChars="-72" w:hanging="113" w:hangingChars="54"/>
        <w:jc w:val="center"/>
        <w:rPr>
          <w:rFonts w:eastAsia="黑体"/>
          <w:b/>
          <w:bCs/>
          <w:szCs w:val="28"/>
        </w:rPr>
      </w:pPr>
    </w:p>
    <w:p w14:paraId="1F6E9949">
      <w:pPr>
        <w:ind w:left="-38" w:leftChars="-72" w:hanging="113" w:hangingChars="54"/>
        <w:jc w:val="center"/>
        <w:rPr>
          <w:rFonts w:eastAsia="黑体"/>
          <w:b/>
          <w:bCs/>
          <w:szCs w:val="28"/>
        </w:rPr>
      </w:pPr>
    </w:p>
    <w:p w14:paraId="0EE4597F">
      <w:pPr>
        <w:ind w:left="-38" w:leftChars="-72" w:hanging="113" w:hangingChars="54"/>
        <w:jc w:val="center"/>
        <w:rPr>
          <w:rFonts w:eastAsia="黑体"/>
          <w:b/>
          <w:bCs/>
          <w:szCs w:val="28"/>
        </w:rPr>
      </w:pPr>
    </w:p>
    <w:p w14:paraId="3407DBC3">
      <w:pPr>
        <w:autoSpaceDE w:val="0"/>
        <w:autoSpaceDN w:val="0"/>
        <w:adjustRightInd w:val="0"/>
        <w:ind w:firstLine="723"/>
        <w:jc w:val="center"/>
        <w:rPr>
          <w:b/>
          <w:sz w:val="36"/>
          <w:szCs w:val="44"/>
        </w:rPr>
      </w:pPr>
      <w:r>
        <w:rPr>
          <w:b/>
          <w:sz w:val="36"/>
          <w:szCs w:val="44"/>
        </w:rPr>
        <w:t>2026 年 6 月</w:t>
      </w:r>
    </w:p>
    <w:p w14:paraId="7065D6AA">
      <w:pPr>
        <w:ind w:firstLine="560"/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7" w:h="16160"/>
          <w:pgMar w:top="1440" w:right="1800" w:bottom="1440" w:left="1800" w:header="851" w:footer="992" w:gutter="0"/>
          <w:cols w:space="425" w:num="1"/>
          <w:docGrid w:type="linesAndChars" w:linePitch="312" w:charSpace="0"/>
        </w:sectPr>
      </w:pPr>
    </w:p>
    <w:p w14:paraId="69F44394">
      <w:pPr>
        <w:ind w:firstLine="643"/>
        <w:rPr>
          <w:rFonts w:eastAsia="黑体"/>
          <w:b/>
          <w:bCs/>
          <w:color w:val="000000"/>
          <w:sz w:val="32"/>
          <w:szCs w:val="32"/>
        </w:rPr>
      </w:pPr>
    </w:p>
    <w:p w14:paraId="5C08CA17">
      <w:pPr>
        <w:pStyle w:val="23"/>
        <w:spacing w:after="0" w:line="360" w:lineRule="auto"/>
        <w:ind w:firstLine="1160"/>
        <w:rPr>
          <w:rFonts w:ascii="Times New Roman" w:hAnsi="Times New Roman"/>
        </w:rPr>
      </w:pPr>
      <w:bookmarkStart w:id="5" w:name="_Toc292970504"/>
      <w:bookmarkStart w:id="6" w:name="_Toc321752507"/>
      <w:bookmarkStart w:id="7" w:name="_Toc22807411"/>
      <w:bookmarkStart w:id="8" w:name="_Toc170877241"/>
      <w:r>
        <w:rPr>
          <w:rFonts w:hint="eastAsia" w:ascii="Times New Roman" w:hAnsi="Times New Roman"/>
        </w:rPr>
        <w:t>版权声明</w:t>
      </w:r>
      <w:bookmarkEnd w:id="5"/>
      <w:bookmarkEnd w:id="6"/>
      <w:bookmarkEnd w:id="7"/>
      <w:bookmarkEnd w:id="8"/>
    </w:p>
    <w:p w14:paraId="521ADC43">
      <w:pPr>
        <w:ind w:firstLine="480"/>
        <w:rPr>
          <w:color w:val="000000"/>
          <w:sz w:val="24"/>
        </w:rPr>
      </w:pPr>
    </w:p>
    <w:p w14:paraId="5D470794">
      <w:pPr>
        <w:ind w:firstLine="480"/>
        <w:rPr>
          <w:color w:val="000000"/>
          <w:sz w:val="24"/>
        </w:rPr>
      </w:pPr>
    </w:p>
    <w:p w14:paraId="31A3630C">
      <w:pPr>
        <w:ind w:firstLine="602"/>
        <w:rPr>
          <w:b/>
          <w:bCs/>
          <w:sz w:val="32"/>
          <w:szCs w:val="30"/>
        </w:rPr>
      </w:pPr>
      <w:r>
        <w:rPr>
          <w:b/>
          <w:color w:val="000000"/>
          <w:sz w:val="30"/>
          <w:szCs w:val="30"/>
        </w:rPr>
        <w:t>本</w:t>
      </w:r>
      <w:r>
        <w:rPr>
          <w:rFonts w:hint="eastAsia"/>
          <w:b/>
          <w:color w:val="000000"/>
          <w:sz w:val="30"/>
          <w:szCs w:val="30"/>
        </w:rPr>
        <w:t>报告</w:t>
      </w:r>
      <w:r>
        <w:rPr>
          <w:b/>
          <w:color w:val="000000"/>
          <w:sz w:val="30"/>
          <w:szCs w:val="30"/>
        </w:rPr>
        <w:t>版权属于云计算开源产业联盟，并受法律保护。转载、 摘编或利用其它方式使用本</w:t>
      </w:r>
      <w:r>
        <w:rPr>
          <w:rFonts w:hint="eastAsia"/>
          <w:b/>
          <w:color w:val="000000"/>
          <w:sz w:val="30"/>
          <w:szCs w:val="30"/>
        </w:rPr>
        <w:t>报告</w:t>
      </w:r>
      <w:r>
        <w:rPr>
          <w:b/>
          <w:color w:val="000000"/>
          <w:sz w:val="30"/>
          <w:szCs w:val="30"/>
        </w:rPr>
        <w:t>文字或者观点的，应注明“来源：云计算开源产业联盟”。违反上述声明者，本联盟将追究其相关法律责任。</w:t>
      </w:r>
    </w:p>
    <w:p w14:paraId="54A61562">
      <w:pPr>
        <w:ind w:firstLine="643"/>
        <w:jc w:val="left"/>
        <w:rPr>
          <w:rFonts w:eastAsia="黑体"/>
          <w:b/>
          <w:bCs/>
          <w:szCs w:val="28"/>
        </w:rPr>
      </w:pPr>
      <w:r>
        <w:rPr>
          <w:rFonts w:eastAsia="黑体"/>
          <w:b/>
          <w:bCs/>
          <w:color w:val="000000"/>
          <w:sz w:val="32"/>
          <w:szCs w:val="32"/>
        </w:rPr>
        <w:br w:type="page"/>
      </w:r>
      <w:bookmarkStart w:id="9" w:name="_Toc321059227"/>
      <w:bookmarkStart w:id="10" w:name="_Toc456004053"/>
    </w:p>
    <w:bookmarkEnd w:id="9"/>
    <w:bookmarkEnd w:id="10"/>
    <w:p w14:paraId="12A4C48E">
      <w:pPr>
        <w:ind w:firstLine="643"/>
        <w:jc w:val="center"/>
        <w:rPr>
          <w:rFonts w:eastAsia="黑体"/>
          <w:b/>
          <w:sz w:val="32"/>
          <w:szCs w:val="32"/>
        </w:rPr>
      </w:pPr>
      <w:r>
        <w:rPr>
          <w:rFonts w:hint="eastAsia" w:eastAsia="黑体"/>
          <w:b/>
          <w:sz w:val="32"/>
          <w:szCs w:val="32"/>
        </w:rPr>
        <w:t>报告愿景及目标读者</w:t>
      </w:r>
    </w:p>
    <w:p w14:paraId="5C6C7EC8">
      <w:pPr>
        <w:ind w:firstLine="560"/>
        <w:jc w:val="center"/>
        <w:rPr>
          <w:szCs w:val="28"/>
        </w:rPr>
      </w:pPr>
    </w:p>
    <w:p w14:paraId="7FE074EA">
      <w:pPr>
        <w:ind w:firstLine="560"/>
        <w:rPr>
          <w:rFonts w:hint="eastAsia" w:ascii="仿宋_GB2312" w:hAnsi="仿宋_GB2312" w:eastAsia="仿宋_GB2312" w:cs="仿宋_GB2312"/>
          <w:szCs w:val="28"/>
        </w:rPr>
      </w:pPr>
      <w:r>
        <w:rPr>
          <w:rFonts w:hint="eastAsia" w:ascii="仿宋_GB2312" w:hAnsi="仿宋_GB2312" w:eastAsia="仿宋_GB2312" w:cs="仿宋_GB2312"/>
          <w:szCs w:val="28"/>
        </w:rPr>
        <w:t>随着大模型、智能体与云服务加速融合，智能体正在从单一问答工具走向连接用户、应用、工具、数据和设备的新型入口。</w:t>
      </w:r>
    </w:p>
    <w:p w14:paraId="2AF86452">
      <w:pPr>
        <w:ind w:firstLine="560"/>
        <w:rPr>
          <w:rFonts w:hint="eastAsia" w:ascii="仿宋_GB2312" w:hAnsi="仿宋_GB2312" w:eastAsia="仿宋_GB2312" w:cs="仿宋_GB2312"/>
          <w:szCs w:val="28"/>
        </w:rPr>
      </w:pPr>
      <w:r>
        <w:rPr>
          <w:rFonts w:hint="eastAsia" w:ascii="仿宋_GB2312" w:hAnsi="仿宋_GB2312" w:eastAsia="仿宋_GB2312" w:cs="仿宋_GB2312"/>
          <w:szCs w:val="28"/>
        </w:rPr>
        <w:t>本报告拟围绕智能体互联网交互发展、交互风险、治理能力体系、产业实践与发展展望等内容进行梳理，为后续标准研制、产业协同和企业实践落地提供参考。</w:t>
      </w:r>
    </w:p>
    <w:p w14:paraId="61C20FB6">
      <w:pPr>
        <w:ind w:firstLine="560"/>
        <w:rPr>
          <w:rFonts w:hint="eastAsia" w:ascii="仿宋_GB2312" w:hAnsi="仿宋_GB2312" w:eastAsia="仿宋_GB2312" w:cs="仿宋_GB2312"/>
          <w:szCs w:val="28"/>
        </w:rPr>
      </w:pPr>
    </w:p>
    <w:p w14:paraId="224C0BFC">
      <w:pPr>
        <w:ind w:firstLine="560"/>
        <w:jc w:val="center"/>
        <w:rPr>
          <w:rFonts w:hint="eastAsia" w:ascii="仿宋_GB2312" w:hAnsi="仿宋_GB2312" w:eastAsia="仿宋_GB2312" w:cs="仿宋_GB2312"/>
          <w:color w:val="000000"/>
          <w:szCs w:val="28"/>
        </w:rPr>
      </w:pPr>
    </w:p>
    <w:p w14:paraId="129D0287">
      <w:pPr>
        <w:ind w:firstLine="560"/>
        <w:rPr>
          <w:rFonts w:hint="eastAsia" w:ascii="仿宋_GB2312" w:hAnsi="仿宋_GB2312" w:eastAsia="仿宋_GB2312" w:cs="仿宋_GB2312"/>
          <w:color w:val="000000"/>
          <w:szCs w:val="28"/>
        </w:rPr>
      </w:pPr>
    </w:p>
    <w:p w14:paraId="72A85880">
      <w:pPr>
        <w:widowControl/>
        <w:ind w:firstLine="560"/>
        <w:jc w:val="left"/>
        <w:rPr>
          <w:rFonts w:hint="eastAsia" w:ascii="仿宋_GB2312" w:hAnsi="仿宋_GB2312" w:eastAsia="仿宋_GB2312" w:cs="仿宋_GB2312"/>
          <w:color w:val="000000"/>
          <w:szCs w:val="28"/>
        </w:rPr>
      </w:pPr>
      <w:r>
        <w:rPr>
          <w:rFonts w:hint="eastAsia" w:ascii="仿宋_GB2312" w:hAnsi="仿宋_GB2312" w:eastAsia="仿宋_GB2312" w:cs="仿宋_GB2312"/>
          <w:color w:val="000000"/>
          <w:szCs w:val="28"/>
        </w:rPr>
        <w:br w:type="page"/>
      </w:r>
    </w:p>
    <w:p w14:paraId="14BCA89E">
      <w:pPr>
        <w:ind w:firstLine="560"/>
        <w:rPr>
          <w:color w:val="000000"/>
          <w:szCs w:val="28"/>
        </w:rPr>
      </w:pPr>
    </w:p>
    <w:p w14:paraId="34A9A2F2">
      <w:pPr>
        <w:ind w:left="22" w:leftChars="-72" w:hanging="173" w:hangingChars="54"/>
        <w:jc w:val="center"/>
        <w:rPr>
          <w:rFonts w:eastAsia="黑体"/>
          <w:b/>
          <w:bCs/>
          <w:sz w:val="32"/>
          <w:szCs w:val="32"/>
        </w:rPr>
      </w:pPr>
      <w:r>
        <w:rPr>
          <w:rFonts w:eastAsia="黑体"/>
          <w:b/>
          <w:bCs/>
          <w:sz w:val="32"/>
          <w:szCs w:val="32"/>
        </w:rPr>
        <w:t>参与编写单位</w:t>
      </w:r>
      <w:r>
        <w:rPr>
          <w:rFonts w:hint="eastAsia" w:eastAsia="黑体"/>
          <w:b/>
          <w:bCs/>
          <w:sz w:val="32"/>
          <w:szCs w:val="32"/>
        </w:rPr>
        <w:t>（排名按照报名顺序）</w:t>
      </w:r>
    </w:p>
    <w:p w14:paraId="1FFFED58">
      <w:pPr>
        <w:ind w:firstLine="560"/>
        <w:rPr>
          <w:rFonts w:hint="eastAsia" w:ascii="仿宋_GB2312" w:hAnsi="仿宋_GB2312" w:eastAsia="仿宋_GB2312" w:cs="仿宋_GB2312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Cs w:val="28"/>
          <w:lang w:val="zh-TW"/>
        </w:rPr>
        <w:t>中国信息通信研究院</w:t>
      </w:r>
      <w:r>
        <w:rPr>
          <w:rFonts w:hint="eastAsia" w:ascii="仿宋_GB2312" w:hAnsi="仿宋_GB2312" w:eastAsia="仿宋_GB2312" w:cs="仿宋_GB2312"/>
          <w:szCs w:val="28"/>
          <w:lang w:val="en-US" w:eastAsia="zh-CN"/>
        </w:rPr>
        <w:t xml:space="preserve"> </w:t>
      </w:r>
    </w:p>
    <w:p w14:paraId="16833F51">
      <w:pPr>
        <w:ind w:firstLine="0" w:firstLineChars="0"/>
        <w:rPr>
          <w:rFonts w:hint="eastAsia" w:ascii="仿宋_GB2312" w:hAnsi="仿宋_GB2312" w:eastAsia="仿宋_GB2312" w:cs="仿宋_GB2312"/>
          <w:color w:val="FF0000"/>
          <w:szCs w:val="28"/>
          <w:lang w:val="zh-TW"/>
        </w:rPr>
      </w:pPr>
    </w:p>
    <w:p w14:paraId="7269F3B7">
      <w:pPr>
        <w:ind w:left="22" w:leftChars="-72" w:hanging="173" w:hangingChars="54"/>
        <w:jc w:val="both"/>
        <w:rPr>
          <w:rFonts w:eastAsia="黑体"/>
          <w:b/>
          <w:bCs/>
          <w:sz w:val="32"/>
          <w:szCs w:val="32"/>
        </w:rPr>
      </w:pPr>
      <w:bookmarkStart w:id="11" w:name="_Toc456004054"/>
    </w:p>
    <w:p w14:paraId="5CA8F7F9">
      <w:pPr>
        <w:ind w:left="22" w:leftChars="-72" w:hanging="173" w:hangingChars="54"/>
        <w:jc w:val="center"/>
        <w:rPr>
          <w:rFonts w:eastAsia="黑体"/>
          <w:b/>
          <w:bCs/>
          <w:sz w:val="32"/>
          <w:szCs w:val="32"/>
        </w:rPr>
      </w:pPr>
      <w:r>
        <w:rPr>
          <w:rFonts w:eastAsia="黑体"/>
          <w:b/>
          <w:bCs/>
          <w:sz w:val="32"/>
          <w:szCs w:val="32"/>
        </w:rPr>
        <w:t>主要撰稿人</w:t>
      </w:r>
      <w:bookmarkEnd w:id="11"/>
    </w:p>
    <w:p w14:paraId="117B2E6D">
      <w:pPr>
        <w:widowControl/>
        <w:ind w:firstLine="560"/>
        <w:rPr>
          <w:rFonts w:hint="default" w:ascii="仿宋_GB2312" w:hAnsi="仿宋_GB2312" w:eastAsia="仿宋_GB2312" w:cs="仿宋_GB2312"/>
          <w:color w:val="000000"/>
          <w:szCs w:val="28"/>
          <w:lang w:val="en-US"/>
        </w:rPr>
      </w:pPr>
      <w:r>
        <w:rPr>
          <w:rFonts w:hint="eastAsia" w:ascii="仿宋_GB2312" w:hAnsi="仿宋_GB2312" w:eastAsia="仿宋_GB2312" w:cs="仿宋_GB2312"/>
          <w:color w:val="000000"/>
          <w:szCs w:val="28"/>
          <w:lang w:val="en-US" w:eastAsia="zh-CN"/>
        </w:rPr>
        <w:t>马铭洋、卫斌、景韩愈等</w:t>
      </w:r>
    </w:p>
    <w:p w14:paraId="14EB7CC9">
      <w:pPr>
        <w:pageBreakBefore/>
        <w:autoSpaceDE w:val="0"/>
        <w:autoSpaceDN w:val="0"/>
        <w:adjustRightInd w:val="0"/>
        <w:ind w:left="2940" w:leftChars="0" w:firstLine="420" w:firstLineChars="0"/>
        <w:jc w:val="both"/>
        <w:rPr>
          <w:rFonts w:eastAsia="黑体"/>
          <w:b/>
          <w:bCs/>
          <w:color w:val="000000"/>
          <w:sz w:val="32"/>
          <w:szCs w:val="32"/>
        </w:rPr>
      </w:pPr>
      <w:r>
        <w:rPr>
          <w:rFonts w:hint="eastAsia" w:eastAsia="黑体"/>
          <w:b/>
          <w:bCs/>
          <w:color w:val="000000"/>
          <w:sz w:val="32"/>
          <w:szCs w:val="32"/>
        </w:rPr>
        <w:t>目</w:t>
      </w:r>
      <w:r>
        <w:rPr>
          <w:rFonts w:eastAsia="黑体"/>
          <w:b/>
          <w:bCs/>
          <w:color w:val="000000"/>
          <w:sz w:val="32"/>
          <w:szCs w:val="32"/>
        </w:rPr>
        <w:t xml:space="preserve">  </w:t>
      </w:r>
      <w:bookmarkStart w:id="17" w:name="_GoBack"/>
      <w:bookmarkEnd w:id="17"/>
      <w:r>
        <w:rPr>
          <w:rFonts w:hint="eastAsia" w:eastAsia="黑体"/>
          <w:b/>
          <w:bCs/>
          <w:color w:val="000000"/>
          <w:sz w:val="32"/>
          <w:szCs w:val="32"/>
        </w:rPr>
        <w:t>录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7999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黑体" w:cs="Times New Roman"/>
          <w:bCs/>
          <w:color w:val="000000"/>
          <w:kern w:val="2"/>
          <w:sz w:val="28"/>
          <w:szCs w:val="44"/>
          <w:lang w:val="en-US" w:eastAsia="zh-CN" w:bidi="ar-SA"/>
        </w:rPr>
      </w:sdtEndPr>
      <w:sdtContent>
        <w:p w14:paraId="5F0844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5AA70F73">
          <w:pPr>
            <w:pStyle w:val="15"/>
            <w:tabs>
              <w:tab w:val="right" w:leader="dot" w:pos="8306"/>
              <w:tab w:val="clear" w:pos="8303"/>
            </w:tabs>
            <w:spacing w:line="600" w:lineRule="auto"/>
            <w:jc w:val="distribute"/>
            <w:rPr>
              <w:sz w:val="28"/>
              <w:szCs w:val="36"/>
            </w:rPr>
          </w:pPr>
          <w:r>
            <w:rPr>
              <w:rFonts w:eastAsia="黑体"/>
              <w:b/>
              <w:bCs/>
              <w:color w:val="000000"/>
              <w:sz w:val="44"/>
              <w:szCs w:val="44"/>
            </w:rPr>
            <w:fldChar w:fldCharType="begin"/>
          </w:r>
          <w:r>
            <w:rPr>
              <w:rFonts w:eastAsia="黑体"/>
              <w:b/>
              <w:bCs/>
              <w:color w:val="000000"/>
              <w:sz w:val="44"/>
              <w:szCs w:val="44"/>
            </w:rPr>
            <w:instrText xml:space="preserve">TOC \o "1-1" \h \u </w:instrText>
          </w:r>
          <w:r>
            <w:rPr>
              <w:rFonts w:eastAsia="黑体"/>
              <w:b/>
              <w:bCs/>
              <w:color w:val="000000"/>
              <w:sz w:val="44"/>
              <w:szCs w:val="44"/>
            </w:rPr>
            <w:fldChar w:fldCharType="separate"/>
          </w:r>
          <w:r>
            <w:rPr>
              <w:rFonts w:eastAsia="黑体"/>
              <w:bCs/>
              <w:color w:val="000000"/>
              <w:sz w:val="28"/>
              <w:szCs w:val="44"/>
            </w:rPr>
            <w:fldChar w:fldCharType="begin"/>
          </w:r>
          <w:r>
            <w:rPr>
              <w:rFonts w:eastAsia="黑体"/>
              <w:bCs/>
              <w:sz w:val="28"/>
              <w:szCs w:val="44"/>
            </w:rPr>
            <w:instrText xml:space="preserve"> HYPERLINK \l _Toc1546 </w:instrText>
          </w:r>
          <w:r>
            <w:rPr>
              <w:rFonts w:eastAsia="黑体"/>
              <w:bCs/>
              <w:sz w:val="28"/>
              <w:szCs w:val="44"/>
            </w:rPr>
            <w:fldChar w:fldCharType="separate"/>
          </w:r>
          <w:r>
            <w:rPr>
              <w:sz w:val="28"/>
              <w:szCs w:val="36"/>
            </w:rPr>
            <w:t>一、智能体互联网交互发展概述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_Toc1546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7</w:t>
          </w:r>
          <w:r>
            <w:rPr>
              <w:sz w:val="28"/>
              <w:szCs w:val="36"/>
            </w:rPr>
            <w:fldChar w:fldCharType="end"/>
          </w:r>
          <w:r>
            <w:rPr>
              <w:rFonts w:eastAsia="黑体"/>
              <w:bCs/>
              <w:color w:val="000000"/>
              <w:sz w:val="28"/>
              <w:szCs w:val="44"/>
            </w:rPr>
            <w:fldChar w:fldCharType="end"/>
          </w:r>
        </w:p>
        <w:p w14:paraId="29792127">
          <w:pPr>
            <w:pStyle w:val="15"/>
            <w:tabs>
              <w:tab w:val="right" w:leader="dot" w:pos="8306"/>
              <w:tab w:val="clear" w:pos="8303"/>
            </w:tabs>
            <w:spacing w:line="600" w:lineRule="auto"/>
            <w:jc w:val="distribute"/>
            <w:rPr>
              <w:sz w:val="28"/>
              <w:szCs w:val="36"/>
            </w:rPr>
          </w:pPr>
          <w:r>
            <w:rPr>
              <w:rFonts w:eastAsia="黑体"/>
              <w:bCs/>
              <w:color w:val="000000"/>
              <w:sz w:val="28"/>
              <w:szCs w:val="44"/>
            </w:rPr>
            <w:fldChar w:fldCharType="begin"/>
          </w:r>
          <w:r>
            <w:rPr>
              <w:rFonts w:eastAsia="黑体"/>
              <w:bCs/>
              <w:sz w:val="28"/>
              <w:szCs w:val="44"/>
            </w:rPr>
            <w:instrText xml:space="preserve"> HYPERLINK \l _Toc9290 </w:instrText>
          </w:r>
          <w:r>
            <w:rPr>
              <w:rFonts w:eastAsia="黑体"/>
              <w:bCs/>
              <w:sz w:val="28"/>
              <w:szCs w:val="44"/>
            </w:rPr>
            <w:fldChar w:fldCharType="separate"/>
          </w:r>
          <w:r>
            <w:rPr>
              <w:sz w:val="28"/>
              <w:szCs w:val="36"/>
            </w:rPr>
            <w:t>二、智能体互联网交互风险分析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_Toc9290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8</w:t>
          </w:r>
          <w:r>
            <w:rPr>
              <w:sz w:val="28"/>
              <w:szCs w:val="36"/>
            </w:rPr>
            <w:fldChar w:fldCharType="end"/>
          </w:r>
          <w:r>
            <w:rPr>
              <w:rFonts w:eastAsia="黑体"/>
              <w:bCs/>
              <w:color w:val="000000"/>
              <w:sz w:val="28"/>
              <w:szCs w:val="44"/>
            </w:rPr>
            <w:fldChar w:fldCharType="end"/>
          </w:r>
        </w:p>
        <w:p w14:paraId="1528525D">
          <w:pPr>
            <w:pStyle w:val="15"/>
            <w:tabs>
              <w:tab w:val="right" w:leader="dot" w:pos="8306"/>
              <w:tab w:val="clear" w:pos="8303"/>
            </w:tabs>
            <w:spacing w:line="600" w:lineRule="auto"/>
            <w:jc w:val="distribute"/>
            <w:rPr>
              <w:sz w:val="28"/>
              <w:szCs w:val="36"/>
            </w:rPr>
          </w:pPr>
          <w:r>
            <w:rPr>
              <w:rFonts w:eastAsia="黑体"/>
              <w:bCs/>
              <w:color w:val="000000"/>
              <w:sz w:val="28"/>
              <w:szCs w:val="44"/>
            </w:rPr>
            <w:fldChar w:fldCharType="begin"/>
          </w:r>
          <w:r>
            <w:rPr>
              <w:rFonts w:eastAsia="黑体"/>
              <w:bCs/>
              <w:sz w:val="28"/>
              <w:szCs w:val="44"/>
            </w:rPr>
            <w:instrText xml:space="preserve"> HYPERLINK \l _Toc26613 </w:instrText>
          </w:r>
          <w:r>
            <w:rPr>
              <w:rFonts w:eastAsia="黑体"/>
              <w:bCs/>
              <w:sz w:val="28"/>
              <w:szCs w:val="44"/>
            </w:rPr>
            <w:fldChar w:fldCharType="separate"/>
          </w:r>
          <w:r>
            <w:rPr>
              <w:sz w:val="28"/>
              <w:szCs w:val="36"/>
            </w:rPr>
            <w:t>三、智能体互联网交互治理能力体系建设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_Toc26613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9</w:t>
          </w:r>
          <w:r>
            <w:rPr>
              <w:sz w:val="28"/>
              <w:szCs w:val="36"/>
            </w:rPr>
            <w:fldChar w:fldCharType="end"/>
          </w:r>
          <w:r>
            <w:rPr>
              <w:rFonts w:eastAsia="黑体"/>
              <w:bCs/>
              <w:color w:val="000000"/>
              <w:sz w:val="28"/>
              <w:szCs w:val="44"/>
            </w:rPr>
            <w:fldChar w:fldCharType="end"/>
          </w:r>
        </w:p>
        <w:p w14:paraId="133900D7">
          <w:pPr>
            <w:pStyle w:val="15"/>
            <w:tabs>
              <w:tab w:val="right" w:leader="dot" w:pos="8306"/>
              <w:tab w:val="clear" w:pos="8303"/>
            </w:tabs>
            <w:spacing w:line="600" w:lineRule="auto"/>
            <w:jc w:val="distribute"/>
            <w:rPr>
              <w:sz w:val="28"/>
              <w:szCs w:val="36"/>
            </w:rPr>
          </w:pPr>
          <w:r>
            <w:rPr>
              <w:rFonts w:eastAsia="黑体"/>
              <w:bCs/>
              <w:color w:val="000000"/>
              <w:sz w:val="28"/>
              <w:szCs w:val="44"/>
            </w:rPr>
            <w:fldChar w:fldCharType="begin"/>
          </w:r>
          <w:r>
            <w:rPr>
              <w:rFonts w:eastAsia="黑体"/>
              <w:bCs/>
              <w:sz w:val="28"/>
              <w:szCs w:val="44"/>
            </w:rPr>
            <w:instrText xml:space="preserve"> HYPERLINK \l _Toc18400 </w:instrText>
          </w:r>
          <w:r>
            <w:rPr>
              <w:rFonts w:eastAsia="黑体"/>
              <w:bCs/>
              <w:sz w:val="28"/>
              <w:szCs w:val="44"/>
            </w:rPr>
            <w:fldChar w:fldCharType="separate"/>
          </w:r>
          <w:r>
            <w:rPr>
              <w:sz w:val="28"/>
              <w:szCs w:val="36"/>
            </w:rPr>
            <w:t>四、交互治理产业实践与典型应用场景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_Toc18400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10</w:t>
          </w:r>
          <w:r>
            <w:rPr>
              <w:sz w:val="28"/>
              <w:szCs w:val="36"/>
            </w:rPr>
            <w:fldChar w:fldCharType="end"/>
          </w:r>
          <w:r>
            <w:rPr>
              <w:rFonts w:eastAsia="黑体"/>
              <w:bCs/>
              <w:color w:val="000000"/>
              <w:sz w:val="28"/>
              <w:szCs w:val="44"/>
            </w:rPr>
            <w:fldChar w:fldCharType="end"/>
          </w:r>
        </w:p>
        <w:p w14:paraId="41B3AB2D">
          <w:pPr>
            <w:pStyle w:val="15"/>
            <w:tabs>
              <w:tab w:val="right" w:leader="dot" w:pos="8306"/>
              <w:tab w:val="clear" w:pos="8303"/>
            </w:tabs>
            <w:spacing w:line="600" w:lineRule="auto"/>
            <w:jc w:val="distribute"/>
            <w:rPr>
              <w:sz w:val="28"/>
              <w:szCs w:val="36"/>
            </w:rPr>
          </w:pPr>
          <w:r>
            <w:rPr>
              <w:rFonts w:eastAsia="黑体"/>
              <w:bCs/>
              <w:color w:val="000000"/>
              <w:sz w:val="28"/>
              <w:szCs w:val="44"/>
            </w:rPr>
            <w:fldChar w:fldCharType="begin"/>
          </w:r>
          <w:r>
            <w:rPr>
              <w:rFonts w:eastAsia="黑体"/>
              <w:bCs/>
              <w:sz w:val="28"/>
              <w:szCs w:val="44"/>
            </w:rPr>
            <w:instrText xml:space="preserve"> HYPERLINK \l _Toc21705 </w:instrText>
          </w:r>
          <w:r>
            <w:rPr>
              <w:rFonts w:eastAsia="黑体"/>
              <w:bCs/>
              <w:sz w:val="28"/>
              <w:szCs w:val="44"/>
            </w:rPr>
            <w:fldChar w:fldCharType="separate"/>
          </w:r>
          <w:r>
            <w:rPr>
              <w:sz w:val="28"/>
              <w:szCs w:val="36"/>
            </w:rPr>
            <w:t>五、智能体互联网交互治理发展展望</w:t>
          </w:r>
          <w:r>
            <w:rPr>
              <w:sz w:val="28"/>
              <w:szCs w:val="36"/>
            </w:rPr>
            <w:tab/>
          </w:r>
          <w:r>
            <w:rPr>
              <w:sz w:val="28"/>
              <w:szCs w:val="36"/>
            </w:rPr>
            <w:fldChar w:fldCharType="begin"/>
          </w:r>
          <w:r>
            <w:rPr>
              <w:sz w:val="28"/>
              <w:szCs w:val="36"/>
            </w:rPr>
            <w:instrText xml:space="preserve"> PAGEREF _Toc21705 \h </w:instrText>
          </w:r>
          <w:r>
            <w:rPr>
              <w:sz w:val="28"/>
              <w:szCs w:val="36"/>
            </w:rPr>
            <w:fldChar w:fldCharType="separate"/>
          </w:r>
          <w:r>
            <w:rPr>
              <w:sz w:val="28"/>
              <w:szCs w:val="36"/>
            </w:rPr>
            <w:t>11</w:t>
          </w:r>
          <w:r>
            <w:rPr>
              <w:sz w:val="28"/>
              <w:szCs w:val="36"/>
            </w:rPr>
            <w:fldChar w:fldCharType="end"/>
          </w:r>
          <w:r>
            <w:rPr>
              <w:rFonts w:eastAsia="黑体"/>
              <w:bCs/>
              <w:color w:val="000000"/>
              <w:sz w:val="28"/>
              <w:szCs w:val="44"/>
            </w:rPr>
            <w:fldChar w:fldCharType="end"/>
          </w:r>
        </w:p>
        <w:p w14:paraId="197ACBA7">
          <w:pPr>
            <w:autoSpaceDE w:val="0"/>
            <w:autoSpaceDN w:val="0"/>
            <w:adjustRightInd w:val="0"/>
            <w:spacing w:line="600" w:lineRule="auto"/>
            <w:ind w:firstLine="643"/>
            <w:jc w:val="distribute"/>
            <w:rPr>
              <w:sz w:val="28"/>
              <w:szCs w:val="36"/>
            </w:rPr>
          </w:pPr>
          <w:r>
            <w:rPr>
              <w:rFonts w:eastAsia="黑体"/>
              <w:bCs/>
              <w:color w:val="000000"/>
              <w:sz w:val="28"/>
              <w:szCs w:val="44"/>
            </w:rPr>
            <w:fldChar w:fldCharType="end"/>
          </w:r>
        </w:p>
      </w:sdtContent>
    </w:sdt>
    <w:p w14:paraId="021B39A2">
      <w:pPr>
        <w:widowControl/>
        <w:spacing w:line="600" w:lineRule="auto"/>
        <w:ind w:firstLine="480"/>
        <w:jc w:val="distribute"/>
        <w:rPr>
          <w:sz w:val="28"/>
          <w:szCs w:val="36"/>
        </w:rPr>
      </w:pPr>
      <w:r>
        <w:rPr>
          <w:sz w:val="36"/>
          <w:szCs w:val="36"/>
        </w:rPr>
        <w:br w:type="page"/>
      </w:r>
    </w:p>
    <w:p w14:paraId="0D433263">
      <w:pPr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  <w:t>企业参编注意事项：</w:t>
      </w:r>
    </w:p>
    <w:p w14:paraId="7D315110">
      <w:pPr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  <w:t>本报告拟在智能体互联网治理相关会议、研讨活动或成果发布中进行使用。</w:t>
      </w:r>
    </w:p>
    <w:p w14:paraId="230BC816">
      <w:pPr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  <w:t>企业可根据报告文件大纲的内容，自行选择提供撰写材料，后期编制组将结合参与撰写企业的实际贡献，在参编企业中体现出先后顺序。</w:t>
      </w:r>
    </w:p>
    <w:p w14:paraId="3E641772">
      <w:pPr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  <w:t>请参与编制的企业将相关材料、企业全称、参编人员姓名发送至编制组联系人处。</w:t>
      </w:r>
    </w:p>
    <w:p w14:paraId="6A9F94A6">
      <w:pPr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  <w:t>时间说明：由于对外发布需预留审核和统稿时间，辛苦各位专家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  <w:lang w:val="en-US" w:eastAsia="zh-CN"/>
        </w:rPr>
        <w:t>在</w:t>
      </w:r>
    </w:p>
    <w:p w14:paraId="71D05525">
      <w:pPr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  <w:lang w:val="en-US" w:eastAsia="zh-CN"/>
        </w:rPr>
        <w:t>【6月18日前】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  <w:t>反馈材料！</w:t>
      </w:r>
    </w:p>
    <w:p w14:paraId="35375852">
      <w:pPr>
        <w:tabs>
          <w:tab w:val="left" w:pos="1143"/>
        </w:tabs>
        <w:ind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693A872">
      <w:pPr>
        <w:tabs>
          <w:tab w:val="left" w:pos="1143"/>
        </w:tabs>
        <w:ind w:firstLine="0" w:firstLineChars="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40"/>
        </w:rPr>
      </w:pPr>
      <w:r>
        <w:rPr>
          <w:rFonts w:hint="eastAsia" w:ascii="仿宋_GB2312" w:hAnsi="仿宋_GB2312" w:eastAsia="仿宋_GB2312" w:cs="仿宋_GB2312"/>
          <w:color w:val="0070C0"/>
          <w:sz w:val="28"/>
          <w:szCs w:val="36"/>
        </w:rPr>
        <w:drawing>
          <wp:inline distT="0" distB="0" distL="114300" distR="114300">
            <wp:extent cx="2875915" cy="3007995"/>
            <wp:effectExtent l="0" t="0" r="4445" b="952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BF33">
      <w:pPr>
        <w:ind w:firstLine="560"/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36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36"/>
        </w:rPr>
        <w:t>欢迎补充（联系人：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36"/>
          <w:lang w:val="en-US" w:eastAsia="zh-CN"/>
        </w:rPr>
        <w:t>马铭洋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36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36"/>
          <w:lang w:val="en-US" w:eastAsia="zh-CN"/>
        </w:rPr>
        <w:t>18600235069</w:t>
      </w:r>
      <w:r>
        <w:rPr>
          <w:rFonts w:hint="eastAsia" w:ascii="仿宋_GB2312" w:hAnsi="仿宋_GB2312" w:eastAsia="仿宋_GB2312" w:cs="仿宋_GB2312"/>
          <w:b/>
          <w:bCs/>
          <w:color w:val="FF0000"/>
          <w:sz w:val="28"/>
          <w:szCs w:val="36"/>
        </w:rPr>
        <w:t>）</w:t>
      </w:r>
    </w:p>
    <w:p w14:paraId="21C76BE4">
      <w:pPr>
        <w:pStyle w:val="2"/>
        <w:numPr>
          <w:ilvl w:val="0"/>
          <w:numId w:val="0"/>
        </w:numPr>
      </w:pPr>
      <w:bookmarkStart w:id="12" w:name="_Toc1546"/>
      <w:r>
        <w:t>一、智能体互联网交互发展概述</w:t>
      </w:r>
      <w:bookmarkEnd w:id="12"/>
    </w:p>
    <w:p w14:paraId="279E10F6">
      <w:pPr>
        <w:pStyle w:val="3"/>
        <w:numPr>
          <w:ilvl w:val="1"/>
          <w:numId w:val="0"/>
        </w:numPr>
      </w:pPr>
      <w:r>
        <w:t>（一）交互技术发展</w:t>
      </w:r>
    </w:p>
    <w:p w14:paraId="49352626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交互技术架构与关键能力</w:t>
      </w:r>
    </w:p>
    <w:p w14:paraId="11028DF6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说明智能体互联网交互涉及的用户入口、多模态交互、任务编排、工具调用、协议适配、端云协同、数据流转等基本技术环节。</w:t>
      </w:r>
    </w:p>
    <w:p w14:paraId="065520BA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交互协议与工具调用能力</w:t>
      </w:r>
    </w:p>
    <w:p w14:paraId="585B2D2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说明智能体与 API、插件、MCP 服务、业务系统、数据库、办公软件、终端能力等对象之间的交互方式。</w:t>
      </w:r>
    </w:p>
    <w:p w14:paraId="6CC6B208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交互技术成熟度与发展难点</w:t>
      </w:r>
    </w:p>
    <w:p w14:paraId="5355A48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说明当前交互技术在跨平台互认、协议兼容、上下文管理、多主体协同、端云联动等方面的成熟度和难点。</w:t>
      </w:r>
    </w:p>
    <w:p w14:paraId="60BDCDE6">
      <w:pPr>
        <w:pStyle w:val="3"/>
        <w:numPr>
          <w:ilvl w:val="1"/>
          <w:numId w:val="0"/>
        </w:numPr>
      </w:pPr>
      <w:r>
        <w:t>（二）交互产业与应用发展</w:t>
      </w:r>
    </w:p>
    <w:p w14:paraId="2AE5BC9A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交互产业生态发展情况</w:t>
      </w:r>
    </w:p>
    <w:p w14:paraId="7027B75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梳理平台方、云服务方、终端厂商、工具服务商、应用服务商、安全服务机构和行业用户在交互生态中的角色。</w:t>
      </w:r>
    </w:p>
    <w:p w14:paraId="17588360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交互应用场景分布</w:t>
      </w:r>
    </w:p>
    <w:p w14:paraId="4F9A602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说明智能体互联网交互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不同</w:t>
      </w:r>
      <w:r>
        <w:rPr>
          <w:rFonts w:hint="eastAsia" w:ascii="仿宋" w:hAnsi="仿宋" w:eastAsia="仿宋" w:cs="仿宋"/>
          <w:sz w:val="28"/>
          <w:szCs w:val="28"/>
        </w:rPr>
        <w:t>场景中的应用方式。</w:t>
      </w:r>
    </w:p>
    <w:p w14:paraId="7B56012D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交互产业发展需求</w:t>
      </w:r>
    </w:p>
    <w:p w14:paraId="7EFB587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分析交互能力在提升用户体验、连接业务系统、支撑自动化任务、推动生态开放等方面的产业价值。</w:t>
      </w:r>
    </w:p>
    <w:p w14:paraId="1F7F1722">
      <w:pPr>
        <w:pStyle w:val="3"/>
        <w:numPr>
          <w:ilvl w:val="1"/>
          <w:numId w:val="0"/>
        </w:numPr>
      </w:pPr>
      <w:r>
        <w:t>（三）交互监管政策与标准</w:t>
      </w:r>
    </w:p>
    <w:p w14:paraId="255151B0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政策与合规要求</w:t>
      </w:r>
    </w:p>
    <w:p w14:paraId="2F3F974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梳理人工智能治理、生成式人工智能服务、数据安全、个人信息保护、网络安全等相关政策要求对智能体互联网交互的影响。</w:t>
      </w:r>
    </w:p>
    <w:p w14:paraId="4674C2B5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标准与测评需求</w:t>
      </w:r>
    </w:p>
    <w:p w14:paraId="4AB4CD6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围绕交互术语、参考架构、能力要求、接口协议、风险防控、日志审计、测试评估等方向，说明标准化建设需求。</w:t>
      </w:r>
    </w:p>
    <w:p w14:paraId="3926888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……</w:t>
      </w:r>
    </w:p>
    <w:p w14:paraId="2088EAFA">
      <w:pPr>
        <w:pStyle w:val="2"/>
        <w:numPr>
          <w:ilvl w:val="0"/>
          <w:numId w:val="0"/>
        </w:numPr>
      </w:pPr>
      <w:bookmarkStart w:id="13" w:name="_Toc9290"/>
      <w:r>
        <w:t>二、智能体互联网交互风险分析</w:t>
      </w:r>
      <w:bookmarkEnd w:id="13"/>
    </w:p>
    <w:p w14:paraId="19512E16">
      <w:pPr>
        <w:pStyle w:val="3"/>
        <w:numPr>
          <w:ilvl w:val="1"/>
          <w:numId w:val="0"/>
        </w:numPr>
      </w:pPr>
      <w:r>
        <w:t>（一）主体身份与身份互认风险</w:t>
      </w:r>
    </w:p>
    <w:p w14:paraId="2137360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分析用户、智能体、工具、应用、设备等交互主体身份不明、身份冒用、跨平台身份传递不一致等风险。</w:t>
      </w:r>
    </w:p>
    <w:p w14:paraId="50CBCA79">
      <w:pPr>
        <w:pStyle w:val="3"/>
        <w:numPr>
          <w:ilvl w:val="1"/>
          <w:numId w:val="0"/>
        </w:numPr>
      </w:pPr>
      <w:r>
        <w:t>（二）权限越界与工具调用风险</w:t>
      </w:r>
    </w:p>
    <w:p w14:paraId="5493CFC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分析智能体在调用工具、系统、插件、数据库或终端能力时可能出现的权限过大、越权调用、敏感操作误触发等问题。</w:t>
      </w:r>
    </w:p>
    <w:p w14:paraId="055974E4">
      <w:pPr>
        <w:pStyle w:val="3"/>
        <w:numPr>
          <w:ilvl w:val="1"/>
          <w:numId w:val="0"/>
        </w:numPr>
      </w:pPr>
      <w:r>
        <w:t>（三）数据流转与上下文污染风险</w:t>
      </w:r>
    </w:p>
    <w:p w14:paraId="13EF3D3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分析交互过程中会话上下文、长期记忆、知识库、工具返回结果、端侧数据等可能出现的泄露、污染、误用和跨域流转风险。</w:t>
      </w:r>
    </w:p>
    <w:p w14:paraId="7D0AD350">
      <w:pPr>
        <w:pStyle w:val="3"/>
        <w:numPr>
          <w:ilvl w:val="1"/>
          <w:numId w:val="0"/>
        </w:numPr>
      </w:pPr>
      <w:r>
        <w:t>（四）交互链路与责任边界风险</w:t>
      </w:r>
    </w:p>
    <w:p w14:paraId="2293D7B0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分析跨平台、跨工具、跨终端交互链路中存在的异常反馈、日志缺失、责任主体不清、事件追溯困难等问题。</w:t>
      </w:r>
    </w:p>
    <w:p w14:paraId="0F4D8D4D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……</w:t>
      </w:r>
    </w:p>
    <w:p w14:paraId="11B7F916">
      <w:pPr>
        <w:pStyle w:val="2"/>
        <w:numPr>
          <w:ilvl w:val="0"/>
          <w:numId w:val="0"/>
        </w:numPr>
      </w:pPr>
      <w:bookmarkStart w:id="14" w:name="_Toc26613"/>
      <w:r>
        <w:t>三、智能体互联网交互治理能力体系建设</w:t>
      </w:r>
      <w:bookmarkEnd w:id="14"/>
    </w:p>
    <w:p w14:paraId="261AD0D5">
      <w:pPr>
        <w:pStyle w:val="3"/>
        <w:numPr>
          <w:ilvl w:val="1"/>
          <w:numId w:val="0"/>
        </w:numPr>
      </w:pPr>
      <w:r>
        <w:t>（一）交互治理总体能力框架</w:t>
      </w:r>
    </w:p>
    <w:p w14:paraId="5B29CB6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围绕可识别、可授权、可管控、可审计、可追责、可协同等目标，构建覆盖交互主体、交互对象、交互链路和交互结果的治理能力体系。</w:t>
      </w:r>
    </w:p>
    <w:p w14:paraId="26205031">
      <w:pPr>
        <w:pStyle w:val="3"/>
        <w:numPr>
          <w:ilvl w:val="1"/>
          <w:numId w:val="0"/>
        </w:numPr>
      </w:pPr>
      <w:r>
        <w:t>（二）接入前治理能力</w:t>
      </w:r>
    </w:p>
    <w:p w14:paraId="59FE927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围绕主体身份审核、工具准入、能力目录、权限分级、接口登记、协议适配等环节，说明交互接入前的治理要求。</w:t>
      </w:r>
    </w:p>
    <w:p w14:paraId="1ADFEE37">
      <w:pPr>
        <w:pStyle w:val="3"/>
        <w:numPr>
          <w:ilvl w:val="1"/>
          <w:numId w:val="0"/>
        </w:numPr>
      </w:pPr>
      <w:r>
        <w:t>（三）运行中管控能力</w:t>
      </w:r>
    </w:p>
    <w:p w14:paraId="1EB4B5E9">
      <w:r>
        <w:rPr>
          <w:rFonts w:hint="eastAsia" w:ascii="仿宋" w:hAnsi="仿宋" w:eastAsia="仿宋" w:cs="仿宋"/>
          <w:sz w:val="28"/>
          <w:szCs w:val="28"/>
        </w:rPr>
        <w:t>围绕交互请求校验、权限控制、敏感操作确认、参数检查、调用限流、异常阻断、上下文隔离等环节，说明交互运行过程中的动态管控能力。</w:t>
      </w:r>
    </w:p>
    <w:p w14:paraId="32FD5E9D">
      <w:pPr>
        <w:pStyle w:val="3"/>
        <w:numPr>
          <w:ilvl w:val="1"/>
          <w:numId w:val="0"/>
        </w:numPr>
      </w:pPr>
      <w:r>
        <w:t>（四）事后审计与责任追溯能力</w:t>
      </w:r>
    </w:p>
    <w:p w14:paraId="52E16E5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围绕日志记录、链路还原、风险复盘、责任划分、事件处置和持续优化等环节，说明交互完成后的审计追溯能力。</w:t>
      </w:r>
    </w:p>
    <w:p w14:paraId="5E2804D7">
      <w:pPr>
        <w:pStyle w:val="3"/>
        <w:numPr>
          <w:ilvl w:val="1"/>
          <w:numId w:val="0"/>
        </w:numPr>
      </w:pPr>
      <w:r>
        <w:t>（五）测试评估与标准化能力</w:t>
      </w:r>
    </w:p>
    <w:p w14:paraId="58DAE09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围绕交互安全测试、工具调用测试、权限控制测试、数据保护测试、日志审计测试等方向，说明交互治理能力的评估方法和标准化建议。</w:t>
      </w:r>
    </w:p>
    <w:p w14:paraId="459A3EC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……</w:t>
      </w:r>
    </w:p>
    <w:p w14:paraId="3241D74C">
      <w:pPr>
        <w:pStyle w:val="2"/>
        <w:numPr>
          <w:ilvl w:val="0"/>
          <w:numId w:val="0"/>
        </w:numPr>
      </w:pPr>
      <w:bookmarkStart w:id="15" w:name="_Toc18400"/>
      <w:r>
        <w:t>四、交互治理产业实践与典型应用场景</w:t>
      </w:r>
      <w:bookmarkEnd w:id="15"/>
    </w:p>
    <w:p w14:paraId="09651511">
      <w:pPr>
        <w:pStyle w:val="3"/>
        <w:numPr>
          <w:ilvl w:val="1"/>
          <w:numId w:val="0"/>
        </w:numPr>
      </w:pPr>
      <w:r>
        <w:t>（一）交互治理实践案例征集方向</w:t>
      </w:r>
    </w:p>
    <w:p w14:paraId="43EB2DF1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用户入口与多模态交互治理实践</w:t>
      </w:r>
    </w:p>
    <w:p w14:paraId="62F7C40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围绕文本、语音、图像、终端入口等交互方式，说明用户入口管理、意图识别、敏感请求确认和体验优化实践。</w:t>
      </w:r>
    </w:p>
    <w:p w14:paraId="148F2456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工具调用与协议交互治理实践</w:t>
      </w:r>
    </w:p>
    <w:p w14:paraId="2E0717D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 API、插件、MCP 服务、业务系统、数据库、办公软件等对象，说明工具调用、协议适配、权限控制、参数校验和审计留痕实践。</w:t>
      </w:r>
    </w:p>
    <w:p w14:paraId="2E676407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端云协同与设备交互治理实践</w:t>
      </w:r>
    </w:p>
    <w:p w14:paraId="394A5A14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围绕终端入口、云端模型、云端工具、本地数据、设备能力之间的交互协同，说明端云任务分发、数据流转、用户确认和安全控制实践。</w:t>
      </w:r>
    </w:p>
    <w:p w14:paraId="114C9D11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行业场景交互治理实践</w:t>
      </w:r>
    </w:p>
    <w:p w14:paraId="329A993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围绕政务、金融、工业、教育、通信、医疗、企业办公、安全运营等场景，说明交互治理如何嵌入业务流程、连接应用系统并支撑用户任务完成。</w:t>
      </w:r>
    </w:p>
    <w:p w14:paraId="3D276216">
      <w:pPr>
        <w:pStyle w:val="4"/>
        <w:numPr>
          <w:ilvl w:val="2"/>
          <w:numId w:val="0"/>
        </w:num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 交互安全评测与运营实践</w:t>
      </w:r>
    </w:p>
    <w:p w14:paraId="5E436803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围绕提示注入测试、越权调用测试、数据泄露防护、日志审计、事件响应和持续运营等方向，说明企业交互治理能力建设情况。</w:t>
      </w:r>
    </w:p>
    <w:p w14:paraId="119A08C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……</w:t>
      </w:r>
    </w:p>
    <w:p w14:paraId="75D97E34">
      <w:pPr>
        <w:pStyle w:val="2"/>
        <w:numPr>
          <w:ilvl w:val="0"/>
          <w:numId w:val="0"/>
        </w:numPr>
      </w:pPr>
      <w:bookmarkStart w:id="16" w:name="_Toc21705"/>
      <w:r>
        <w:t>五、智能体互联网交互治理发展展望</w:t>
      </w:r>
      <w:bookmarkEnd w:id="16"/>
    </w:p>
    <w:p w14:paraId="4CC168D5">
      <w:pPr>
        <w:pStyle w:val="3"/>
        <w:numPr>
          <w:ilvl w:val="1"/>
          <w:numId w:val="0"/>
        </w:numPr>
      </w:pPr>
      <w:r>
        <w:t>（一）交互治理技术发展展望</w:t>
      </w:r>
    </w:p>
    <w:p w14:paraId="5BF8544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从协议化、接口化、策略化、可信化、自动化、轻量化等方向，研判智能体互联网交互治理技术演进趋势。</w:t>
      </w:r>
    </w:p>
    <w:p w14:paraId="6CEE4E20">
      <w:pPr>
        <w:pStyle w:val="3"/>
        <w:numPr>
          <w:ilvl w:val="1"/>
          <w:numId w:val="0"/>
        </w:numPr>
      </w:pPr>
      <w:r>
        <w:t>（二）交互治理产业发展展望</w:t>
      </w:r>
    </w:p>
    <w:p w14:paraId="162444EE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围绕交互网关、工具治理、安全评测、行业解决方案、生态协同机制等方向，研判交互治理相关产品和服务的发展趋势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和</w:t>
      </w:r>
      <w:r>
        <w:rPr>
          <w:rFonts w:hint="eastAsia" w:ascii="仿宋" w:hAnsi="仿宋" w:eastAsia="仿宋" w:cs="仿宋"/>
          <w:sz w:val="28"/>
          <w:szCs w:val="28"/>
        </w:rPr>
        <w:t>未来布局。</w:t>
      </w:r>
    </w:p>
    <w:p w14:paraId="78DA4FDB">
      <w:pPr>
        <w:pStyle w:val="3"/>
        <w:numPr>
          <w:ilvl w:val="1"/>
          <w:numId w:val="0"/>
        </w:numPr>
      </w:pPr>
      <w:r>
        <w:t>（三）交互治理监管与标准化展望</w:t>
      </w:r>
    </w:p>
    <w:p w14:paraId="1A0E17B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围绕交互参考架构、能力要求、接口协议、测试方法、实践指南和评估认证等方向，提出标准化推进建议。</w:t>
      </w:r>
    </w:p>
    <w:p w14:paraId="03383485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……</w:t>
      </w:r>
    </w:p>
    <w:sectPr>
      <w:headerReference r:id="rId9" w:type="default"/>
      <w:footerReference r:id="rId10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45C74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EACA8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9AA87">
    <w:pPr>
      <w:pStyle w:val="1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187C1">
    <w:pPr>
      <w:pStyle w:val="1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CB898">
    <w:pPr>
      <w:pStyle w:val="14"/>
      <w:pBdr>
        <w:bottom w:val="none" w:color="auto" w:sz="0" w:space="0"/>
      </w:pBdr>
      <w:ind w:firstLine="360"/>
    </w:pPr>
    <w:r>
      <w:pict>
        <v:shape id="PowerPlusWaterMarkObject1561928423" o:spid="_x0000_s4098" o:spt="136" type="#_x0000_t136" style="position:absolute;left:0pt;height:72pt;width:648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云计算开源产业联盟" style="font-family:宋体;font-size:72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6EAF1">
    <w:pPr>
      <w:pStyle w:val="14"/>
      <w:ind w:firstLine="360"/>
    </w:pPr>
    <w:r>
      <w:pict>
        <v:shape id="PowerPlusWaterMarkObject1561928422" o:spid="_x0000_s4099" o:spt="136" type="#_x0000_t136" style="position:absolute;left:0pt;height:72pt;width:648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云计算开源产业联盟" style="font-family:宋体;font-size:72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CF199">
    <w:pPr>
      <w:pStyle w:val="14"/>
      <w:ind w:firstLine="360"/>
    </w:pPr>
    <w:r>
      <w:pict>
        <v:shape id="PowerPlusWaterMarkObject1561928421" o:spid="_x0000_s4097" o:spt="136" type="#_x0000_t136" style="position:absolute;left:0pt;height:72pt;width:648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云计算开源产业联盟" style="font-family:宋体;font-size:72pt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6053">
    <w:pPr>
      <w:pStyle w:val="14"/>
      <w:pBdr>
        <w:bottom w:val="none" w:color="auto" w:sz="0" w:space="0"/>
      </w:pBdr>
      <w:ind w:firstLine="360"/>
    </w:pPr>
    <w:r>
      <w:pict>
        <v:shape id="PowerPlusWaterMarkObject1561928429" o:spid="_x0000_s4100" o:spt="136" type="#_x0000_t136" style="position:absolute;left:0pt;height:72pt;width:648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云计算开源产业联盟" style="font-family:宋体;font-size:72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4ECE8"/>
    <w:multiLevelType w:val="multilevel"/>
    <w:tmpl w:val="6074ECE8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-400" w:firstLine="400"/>
      </w:pPr>
      <w:rPr>
        <w:rFonts w:hint="default" w:ascii="仿宋" w:hAnsi="仿宋" w:eastAsia="仿宋" w:cs="仿宋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6D34EB"/>
    <w:rsid w:val="00087812"/>
    <w:rsid w:val="000A75D1"/>
    <w:rsid w:val="000A7965"/>
    <w:rsid w:val="000D7F19"/>
    <w:rsid w:val="000E2A20"/>
    <w:rsid w:val="00183FAD"/>
    <w:rsid w:val="001E1466"/>
    <w:rsid w:val="001E40CE"/>
    <w:rsid w:val="001F6AAD"/>
    <w:rsid w:val="00255F36"/>
    <w:rsid w:val="002F6AAE"/>
    <w:rsid w:val="00392A17"/>
    <w:rsid w:val="003E02B1"/>
    <w:rsid w:val="00411586"/>
    <w:rsid w:val="00465DED"/>
    <w:rsid w:val="00473D81"/>
    <w:rsid w:val="004A3FB7"/>
    <w:rsid w:val="004D732F"/>
    <w:rsid w:val="005069DB"/>
    <w:rsid w:val="005B4A90"/>
    <w:rsid w:val="006359E9"/>
    <w:rsid w:val="00657E17"/>
    <w:rsid w:val="00696154"/>
    <w:rsid w:val="007A4B4D"/>
    <w:rsid w:val="007C5B31"/>
    <w:rsid w:val="00813893"/>
    <w:rsid w:val="0085717C"/>
    <w:rsid w:val="008D38AB"/>
    <w:rsid w:val="008D396E"/>
    <w:rsid w:val="00952E66"/>
    <w:rsid w:val="00971A7B"/>
    <w:rsid w:val="009C6B8C"/>
    <w:rsid w:val="00B701B7"/>
    <w:rsid w:val="00BF0798"/>
    <w:rsid w:val="00BF4092"/>
    <w:rsid w:val="00C440FB"/>
    <w:rsid w:val="00C61923"/>
    <w:rsid w:val="00CE6CD5"/>
    <w:rsid w:val="00D326CA"/>
    <w:rsid w:val="00D50D91"/>
    <w:rsid w:val="00DA3F26"/>
    <w:rsid w:val="00DC06D0"/>
    <w:rsid w:val="00E22F99"/>
    <w:rsid w:val="00E3097A"/>
    <w:rsid w:val="00EA281B"/>
    <w:rsid w:val="00ED2BCD"/>
    <w:rsid w:val="00F100B5"/>
    <w:rsid w:val="00F17BA2"/>
    <w:rsid w:val="00F32B2D"/>
    <w:rsid w:val="00F8336D"/>
    <w:rsid w:val="00F8673F"/>
    <w:rsid w:val="00FB6079"/>
    <w:rsid w:val="00FE4529"/>
    <w:rsid w:val="00FF3B2B"/>
    <w:rsid w:val="02DF3456"/>
    <w:rsid w:val="02ED7EC0"/>
    <w:rsid w:val="04912ACD"/>
    <w:rsid w:val="05F357EF"/>
    <w:rsid w:val="06671B5A"/>
    <w:rsid w:val="083E626D"/>
    <w:rsid w:val="099D6854"/>
    <w:rsid w:val="0B332B30"/>
    <w:rsid w:val="0D2F44C9"/>
    <w:rsid w:val="0F176051"/>
    <w:rsid w:val="11E132E5"/>
    <w:rsid w:val="12264325"/>
    <w:rsid w:val="12F42DA4"/>
    <w:rsid w:val="15121A08"/>
    <w:rsid w:val="15DA0AFA"/>
    <w:rsid w:val="181A12FF"/>
    <w:rsid w:val="191477B1"/>
    <w:rsid w:val="19A72CC2"/>
    <w:rsid w:val="1B6F1962"/>
    <w:rsid w:val="1D0C7C22"/>
    <w:rsid w:val="1DE36C25"/>
    <w:rsid w:val="1F250DF2"/>
    <w:rsid w:val="1F812ECF"/>
    <w:rsid w:val="2235799A"/>
    <w:rsid w:val="23893DCE"/>
    <w:rsid w:val="23E32EED"/>
    <w:rsid w:val="24253506"/>
    <w:rsid w:val="24727DCD"/>
    <w:rsid w:val="24861ACA"/>
    <w:rsid w:val="25C94365"/>
    <w:rsid w:val="26B40B71"/>
    <w:rsid w:val="27483067"/>
    <w:rsid w:val="292A3E4F"/>
    <w:rsid w:val="29CE5AA6"/>
    <w:rsid w:val="2A2B55D0"/>
    <w:rsid w:val="2E675732"/>
    <w:rsid w:val="30D342E9"/>
    <w:rsid w:val="316C3231"/>
    <w:rsid w:val="336E5BA9"/>
    <w:rsid w:val="33912347"/>
    <w:rsid w:val="34485AF1"/>
    <w:rsid w:val="37D637CC"/>
    <w:rsid w:val="38E27632"/>
    <w:rsid w:val="3A632A0C"/>
    <w:rsid w:val="3ACC5445"/>
    <w:rsid w:val="3B1A665B"/>
    <w:rsid w:val="3B76025F"/>
    <w:rsid w:val="3BBA15AD"/>
    <w:rsid w:val="3C6A3D54"/>
    <w:rsid w:val="3C770EB3"/>
    <w:rsid w:val="3C830972"/>
    <w:rsid w:val="3CC1149A"/>
    <w:rsid w:val="3CCA47F2"/>
    <w:rsid w:val="3E533876"/>
    <w:rsid w:val="3E9F5513"/>
    <w:rsid w:val="425028FA"/>
    <w:rsid w:val="4442000D"/>
    <w:rsid w:val="454E255C"/>
    <w:rsid w:val="4555018E"/>
    <w:rsid w:val="4968786D"/>
    <w:rsid w:val="4A6D34EB"/>
    <w:rsid w:val="4B9B4861"/>
    <w:rsid w:val="4F9E6E89"/>
    <w:rsid w:val="50667AD8"/>
    <w:rsid w:val="50A13600"/>
    <w:rsid w:val="51150604"/>
    <w:rsid w:val="52296E91"/>
    <w:rsid w:val="5369498A"/>
    <w:rsid w:val="5440709F"/>
    <w:rsid w:val="54C16457"/>
    <w:rsid w:val="54C404B3"/>
    <w:rsid w:val="54F226E1"/>
    <w:rsid w:val="564209AC"/>
    <w:rsid w:val="58676F42"/>
    <w:rsid w:val="5929341A"/>
    <w:rsid w:val="5B3B6561"/>
    <w:rsid w:val="5BBD3544"/>
    <w:rsid w:val="5C8B1A44"/>
    <w:rsid w:val="5D5E5A10"/>
    <w:rsid w:val="5DC20DDB"/>
    <w:rsid w:val="5EFD0600"/>
    <w:rsid w:val="5F867760"/>
    <w:rsid w:val="5F8B1D80"/>
    <w:rsid w:val="611D4629"/>
    <w:rsid w:val="618C5914"/>
    <w:rsid w:val="61F25ACE"/>
    <w:rsid w:val="6280132C"/>
    <w:rsid w:val="62AC2121"/>
    <w:rsid w:val="63B374DF"/>
    <w:rsid w:val="64262F3D"/>
    <w:rsid w:val="64E25391"/>
    <w:rsid w:val="6564710A"/>
    <w:rsid w:val="66C0619B"/>
    <w:rsid w:val="670640B1"/>
    <w:rsid w:val="67DC5256"/>
    <w:rsid w:val="67F840EF"/>
    <w:rsid w:val="68E85E7D"/>
    <w:rsid w:val="6E31797E"/>
    <w:rsid w:val="712F2B3D"/>
    <w:rsid w:val="723E2669"/>
    <w:rsid w:val="73247AB1"/>
    <w:rsid w:val="736B56E0"/>
    <w:rsid w:val="73F676A0"/>
    <w:rsid w:val="76860C68"/>
    <w:rsid w:val="7B3A2568"/>
    <w:rsid w:val="7CF61B59"/>
    <w:rsid w:val="7D3B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nhideWhenUsed="0" w:uiPriority="0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qFormat="1" w:uiPriority="99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tabs>
        <w:tab w:val="right" w:leader="dot" w:pos="8303"/>
      </w:tabs>
      <w:ind w:firstLine="0" w:firstLineChars="0"/>
    </w:pPr>
  </w:style>
  <w:style w:type="paragraph" w:styleId="16">
    <w:name w:val="toc 4"/>
    <w:basedOn w:val="1"/>
    <w:next w:val="1"/>
    <w:qFormat/>
    <w:uiPriority w:val="39"/>
    <w:pPr>
      <w:tabs>
        <w:tab w:val="left" w:pos="1260"/>
        <w:tab w:val="right" w:leader="dot" w:pos="8302"/>
      </w:tabs>
      <w:ind w:firstLine="0" w:firstLineChars="0"/>
    </w:pPr>
  </w:style>
  <w:style w:type="paragraph" w:styleId="17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styleId="22">
    <w:name w:val="Hyperlink"/>
    <w:basedOn w:val="21"/>
    <w:qFormat/>
    <w:uiPriority w:val="99"/>
    <w:rPr>
      <w:color w:val="0000FF"/>
      <w:u w:val="single"/>
    </w:rPr>
  </w:style>
  <w:style w:type="paragraph" w:customStyle="1" w:styleId="23">
    <w:name w:val="样式 标题 11l1 + 仿宋_GB2312 四号"/>
    <w:basedOn w:val="2"/>
    <w:autoRedefine/>
    <w:qFormat/>
    <w:uiPriority w:val="0"/>
    <w:pPr>
      <w:widowControl/>
      <w:pBdr>
        <w:top w:val="single" w:color="808080" w:sz="6" w:space="6"/>
        <w:bottom w:val="single" w:color="808080" w:sz="6" w:space="11"/>
      </w:pBdr>
      <w:spacing w:before="0" w:after="240" w:line="240" w:lineRule="atLeast"/>
      <w:jc w:val="center"/>
      <w:outlineLvl w:val="9"/>
    </w:pPr>
    <w:rPr>
      <w:rFonts w:ascii="楷体_GB2312" w:hAnsi="新宋体" w:eastAsia="楷体_GB2312"/>
      <w:caps/>
      <w:spacing w:val="20"/>
      <w:w w:val="150"/>
      <w:kern w:val="16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  <customShpInfo spid="_x0000_s410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2310</Words>
  <Characters>2349</Characters>
  <Lines>1</Lines>
  <Paragraphs>1</Paragraphs>
  <TotalTime>8</TotalTime>
  <ScaleCrop>false</ScaleCrop>
  <LinksUpToDate>false</LinksUpToDate>
  <CharactersWithSpaces>2380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2025-05-22T14:57:00Z</dcterms:created>
  <dc:creator>魏赫霖</dc:creator>
  <cp:lastModifiedBy>马铭洋</cp:lastModifiedBy>
  <dcterms:modified xsi:type="dcterms:W3CDTF">2026-06-12T02:21:48Z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CAB9DDC203974B6D8A65B7107F0C634F_13</vt:lpwstr>
  </property>
  <property fmtid="{D5CDD505-2E9C-101B-9397-08002B2CF9AE}" pid="4" name="KSOTemplateDocerSaveRecord">
    <vt:lpwstr>eyJoZGlkIjoiMmFjMjQyY2MyYzYzYmUyZmY2NWQ5NWRjNTM3OWQwMmUiLCJ1c2VySWQiOiIyMDE2NjE3NTEifQ==</vt:lpwstr>
  </property>
</Properties>
</file>