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8A565" w14:textId="1A485E33" w:rsidR="001B5E2D" w:rsidRDefault="00531122" w:rsidP="00925F1C">
      <w:pPr>
        <w:rPr>
          <w:rFonts w:ascii="Times New Roman" w:hAnsi="Times New Roman" w:cs="Times New Roman"/>
          <w:sz w:val="24"/>
          <w:szCs w:val="24"/>
        </w:rPr>
      </w:pPr>
      <w:r w:rsidRPr="00EC2939">
        <w:rPr>
          <w:rFonts w:ascii="Times New Roman" w:hAnsi="Times New Roman" w:cs="Times New Roman"/>
          <w:sz w:val="24"/>
          <w:szCs w:val="24"/>
        </w:rPr>
        <w:t xml:space="preserve">This project is </w:t>
      </w:r>
      <w:r w:rsidR="00FD02F3">
        <w:rPr>
          <w:rFonts w:ascii="Times New Roman" w:hAnsi="Times New Roman" w:cs="Times New Roman" w:hint="eastAsia"/>
          <w:sz w:val="24"/>
          <w:szCs w:val="24"/>
        </w:rPr>
        <w:t>partly</w:t>
      </w:r>
      <w:r w:rsidRPr="00EC2939">
        <w:rPr>
          <w:rFonts w:ascii="Times New Roman" w:hAnsi="Times New Roman" w:cs="Times New Roman"/>
          <w:sz w:val="24"/>
          <w:szCs w:val="24"/>
        </w:rPr>
        <w:t xml:space="preserve"> </w:t>
      </w:r>
      <w:r w:rsidR="00EC2939">
        <w:rPr>
          <w:rFonts w:ascii="Times New Roman" w:hAnsi="Times New Roman" w:cs="Times New Roman"/>
          <w:sz w:val="24"/>
          <w:szCs w:val="24"/>
        </w:rPr>
        <w:t xml:space="preserve">funded by </w:t>
      </w:r>
      <w:hyperlink r:id="rId4" w:history="1">
        <w:r w:rsidR="00A3474A" w:rsidRPr="00A3474A">
          <w:rPr>
            <w:rStyle w:val="Hyperlink"/>
            <w:rFonts w:ascii="Times New Roman" w:hAnsi="Times New Roman" w:cs="Times New Roman"/>
            <w:sz w:val="24"/>
            <w:szCs w:val="24"/>
          </w:rPr>
          <w:t>PSU Center for Innovation in Online Learning</w:t>
        </w:r>
      </w:hyperlink>
      <w:r w:rsidR="001B5E2D">
        <w:rPr>
          <w:rStyle w:val="Hyperlink"/>
          <w:rFonts w:ascii="Times New Roman" w:hAnsi="Times New Roman" w:cs="Times New Roman"/>
          <w:sz w:val="24"/>
          <w:szCs w:val="24"/>
        </w:rPr>
        <w:t>.</w:t>
      </w:r>
      <w:r w:rsidR="0090057C">
        <w:rPr>
          <w:rFonts w:ascii="Times New Roman" w:hAnsi="Times New Roman" w:cs="Times New Roman"/>
          <w:sz w:val="24"/>
          <w:szCs w:val="24"/>
        </w:rPr>
        <w:t xml:space="preserve"> </w:t>
      </w:r>
      <w:r w:rsidR="001B5E2D">
        <w:rPr>
          <w:rFonts w:ascii="Times New Roman" w:hAnsi="Times New Roman" w:cs="Times New Roman"/>
          <w:sz w:val="24"/>
          <w:szCs w:val="24"/>
        </w:rPr>
        <w:t xml:space="preserve">Online learning has become increasingly important in digital era. However, there are a lot of concerns and questions in online learning processes, such as </w:t>
      </w:r>
      <w:r w:rsidR="001F166B">
        <w:rPr>
          <w:rFonts w:ascii="Times New Roman" w:hAnsi="Times New Roman" w:cs="Times New Roman"/>
          <w:sz w:val="24"/>
          <w:szCs w:val="24"/>
        </w:rPr>
        <w:t xml:space="preserve">difficulties in </w:t>
      </w:r>
      <w:r w:rsidR="00495EF9">
        <w:rPr>
          <w:rFonts w:ascii="Times New Roman" w:hAnsi="Times New Roman" w:cs="Times New Roman"/>
          <w:sz w:val="24"/>
          <w:szCs w:val="24"/>
        </w:rPr>
        <w:t xml:space="preserve">monitoring </w:t>
      </w:r>
      <w:r w:rsidR="0030464C">
        <w:rPr>
          <w:rFonts w:ascii="Times New Roman" w:hAnsi="Times New Roman" w:cs="Times New Roman"/>
          <w:sz w:val="24"/>
          <w:szCs w:val="24"/>
        </w:rPr>
        <w:t xml:space="preserve">students’ learning </w:t>
      </w:r>
      <w:r w:rsidR="00C001A6">
        <w:rPr>
          <w:rFonts w:ascii="Times New Roman" w:hAnsi="Times New Roman" w:cs="Times New Roman"/>
          <w:sz w:val="24"/>
          <w:szCs w:val="24"/>
        </w:rPr>
        <w:t>processes</w:t>
      </w:r>
      <w:r w:rsidR="00977F8B">
        <w:rPr>
          <w:rFonts w:ascii="Times New Roman" w:hAnsi="Times New Roman" w:cs="Times New Roman"/>
          <w:sz w:val="24"/>
          <w:szCs w:val="24"/>
        </w:rPr>
        <w:t xml:space="preserve">, </w:t>
      </w:r>
      <w:r w:rsidR="00977F8B" w:rsidRPr="00D46AFD">
        <w:rPr>
          <w:rFonts w:ascii="Times New Roman" w:hAnsi="Times New Roman" w:cs="Times New Roman"/>
          <w:sz w:val="24"/>
          <w:szCs w:val="24"/>
        </w:rPr>
        <w:t>the</w:t>
      </w:r>
      <w:r w:rsidR="006F64F1">
        <w:rPr>
          <w:rFonts w:ascii="Times New Roman" w:hAnsi="Times New Roman" w:cs="Times New Roman"/>
          <w:sz w:val="24"/>
          <w:szCs w:val="24"/>
        </w:rPr>
        <w:t xml:space="preserve"> high dropout rat</w:t>
      </w:r>
      <w:r w:rsidR="00020524">
        <w:rPr>
          <w:rFonts w:ascii="Times New Roman" w:hAnsi="Times New Roman" w:cs="Times New Roman"/>
          <w:sz w:val="24"/>
          <w:szCs w:val="24"/>
        </w:rPr>
        <w:t>e</w:t>
      </w:r>
      <w:r w:rsidR="00015867">
        <w:rPr>
          <w:rFonts w:ascii="Times New Roman" w:hAnsi="Times New Roman" w:cs="Times New Roman"/>
          <w:sz w:val="24"/>
          <w:szCs w:val="24"/>
        </w:rPr>
        <w:t xml:space="preserve">s, and </w:t>
      </w:r>
      <w:r w:rsidR="007A7CB7">
        <w:rPr>
          <w:rFonts w:ascii="Times New Roman" w:hAnsi="Times New Roman" w:cs="Times New Roman"/>
          <w:sz w:val="24"/>
          <w:szCs w:val="24"/>
        </w:rPr>
        <w:t>providing personalized and timely interventions</w:t>
      </w:r>
      <w:r w:rsidR="0006207E">
        <w:rPr>
          <w:rFonts w:ascii="Times New Roman" w:hAnsi="Times New Roman" w:cs="Times New Roman"/>
          <w:sz w:val="24"/>
          <w:szCs w:val="24"/>
        </w:rPr>
        <w:t xml:space="preserve"> for students.</w:t>
      </w:r>
      <w:r w:rsidR="00D729B7">
        <w:rPr>
          <w:rFonts w:ascii="Times New Roman" w:hAnsi="Times New Roman" w:cs="Times New Roman"/>
          <w:sz w:val="24"/>
          <w:szCs w:val="24"/>
        </w:rPr>
        <w:t xml:space="preserve"> </w:t>
      </w:r>
      <w:r w:rsidR="001B5E2D">
        <w:rPr>
          <w:rFonts w:ascii="Times New Roman" w:hAnsi="Times New Roman" w:cs="Times New Roman"/>
          <w:sz w:val="24"/>
          <w:szCs w:val="24"/>
        </w:rPr>
        <w:t>We have been working on building effective, interpretable, and transferrable early prediction models for online learning, and we also connected learning theories with computational methods to model online learning processes to understand students’ behavior and progress in a much granular scale</w:t>
      </w:r>
      <w:r w:rsidR="0018772C">
        <w:rPr>
          <w:rFonts w:ascii="Times New Roman" w:hAnsi="Times New Roman" w:cs="Times New Roman"/>
          <w:sz w:val="24"/>
          <w:szCs w:val="24"/>
        </w:rPr>
        <w:t xml:space="preserve"> </w:t>
      </w:r>
      <w:r w:rsidR="0018772C">
        <w:rPr>
          <w:rFonts w:ascii="Times New Roman" w:hAnsi="Times New Roman" w:cs="Times New Roman" w:hint="eastAsia"/>
          <w:sz w:val="24"/>
          <w:szCs w:val="24"/>
        </w:rPr>
        <w:t>to</w:t>
      </w:r>
      <w:r w:rsidR="0018772C">
        <w:rPr>
          <w:rFonts w:ascii="Times New Roman" w:hAnsi="Times New Roman" w:cs="Times New Roman"/>
          <w:sz w:val="24"/>
          <w:szCs w:val="24"/>
        </w:rPr>
        <w:t xml:space="preserve"> advance the basic understanding of students’ online </w:t>
      </w:r>
      <w:r w:rsidR="00B04DEE">
        <w:rPr>
          <w:rFonts w:ascii="Times New Roman" w:hAnsi="Times New Roman" w:cs="Times New Roman"/>
          <w:sz w:val="24"/>
          <w:szCs w:val="24"/>
        </w:rPr>
        <w:t>learning</w:t>
      </w:r>
      <w:r w:rsidR="0018772C">
        <w:rPr>
          <w:rFonts w:ascii="Times New Roman" w:hAnsi="Times New Roman" w:cs="Times New Roman"/>
          <w:sz w:val="24"/>
          <w:szCs w:val="24"/>
        </w:rPr>
        <w:t xml:space="preserve"> processes. </w:t>
      </w:r>
    </w:p>
    <w:p w14:paraId="13CB9BF9" w14:textId="77777777" w:rsidR="001B5E2D" w:rsidRDefault="001B5E2D" w:rsidP="00925F1C">
      <w:pPr>
        <w:rPr>
          <w:rFonts w:ascii="Times New Roman" w:hAnsi="Times New Roman" w:cs="Times New Roman"/>
          <w:sz w:val="24"/>
          <w:szCs w:val="24"/>
        </w:rPr>
      </w:pPr>
    </w:p>
    <w:p w14:paraId="6E09B1D2" w14:textId="2F5CDC33" w:rsidR="002577F5" w:rsidRDefault="002577F5" w:rsidP="00925F1C">
      <w:pPr>
        <w:rPr>
          <w:rFonts w:ascii="Times New Roman" w:hAnsi="Times New Roman" w:cs="Times New Roman"/>
          <w:sz w:val="24"/>
          <w:szCs w:val="24"/>
        </w:rPr>
      </w:pPr>
      <w:r w:rsidRPr="002577F5">
        <w:rPr>
          <w:rFonts w:ascii="Times New Roman" w:hAnsi="Times New Roman" w:cs="Times New Roman"/>
          <w:noProof/>
          <w:sz w:val="24"/>
          <w:szCs w:val="24"/>
        </w:rPr>
        <w:drawing>
          <wp:inline distT="0" distB="0" distL="0" distR="0" wp14:anchorId="26D1B60C" wp14:editId="50585247">
            <wp:extent cx="3437165" cy="3027349"/>
            <wp:effectExtent l="0" t="0" r="0" b="1905"/>
            <wp:docPr id="2" name="Picture 2"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istogram&#10;&#10;Description automatically generated"/>
                    <pic:cNvPicPr/>
                  </pic:nvPicPr>
                  <pic:blipFill>
                    <a:blip r:embed="rId5"/>
                    <a:stretch>
                      <a:fillRect/>
                    </a:stretch>
                  </pic:blipFill>
                  <pic:spPr>
                    <a:xfrm>
                      <a:off x="0" y="0"/>
                      <a:ext cx="3445535" cy="3034721"/>
                    </a:xfrm>
                    <a:prstGeom prst="rect">
                      <a:avLst/>
                    </a:prstGeom>
                  </pic:spPr>
                </pic:pic>
              </a:graphicData>
            </a:graphic>
          </wp:inline>
        </w:drawing>
      </w:r>
    </w:p>
    <w:p w14:paraId="187869B2" w14:textId="05DD4409" w:rsidR="002577F5" w:rsidRDefault="002577F5" w:rsidP="00925F1C">
      <w:pPr>
        <w:rPr>
          <w:rFonts w:ascii="Times New Roman" w:hAnsi="Times New Roman" w:cs="Times New Roman"/>
          <w:sz w:val="24"/>
          <w:szCs w:val="24"/>
        </w:rPr>
      </w:pPr>
      <w:r>
        <w:rPr>
          <w:rFonts w:ascii="Times New Roman" w:hAnsi="Times New Roman" w:cs="Times New Roman"/>
          <w:sz w:val="24"/>
          <w:szCs w:val="24"/>
        </w:rPr>
        <w:t>Identified three different learning patterns</w:t>
      </w:r>
    </w:p>
    <w:p w14:paraId="1487B5BC" w14:textId="252983C7" w:rsidR="002577F5" w:rsidRDefault="000312B9" w:rsidP="00925F1C">
      <w:pPr>
        <w:rPr>
          <w:rFonts w:ascii="Times New Roman" w:hAnsi="Times New Roman" w:cs="Times New Roman"/>
          <w:sz w:val="24"/>
          <w:szCs w:val="24"/>
        </w:rPr>
      </w:pPr>
      <w:r w:rsidRPr="000312B9">
        <w:rPr>
          <w:rFonts w:ascii="Times New Roman" w:hAnsi="Times New Roman" w:cs="Times New Roman"/>
          <w:noProof/>
          <w:sz w:val="24"/>
          <w:szCs w:val="24"/>
        </w:rPr>
        <w:drawing>
          <wp:inline distT="0" distB="0" distL="0" distR="0" wp14:anchorId="22C33EA3" wp14:editId="2441801D">
            <wp:extent cx="4835769" cy="1947740"/>
            <wp:effectExtent l="0" t="0" r="3175" b="0"/>
            <wp:docPr id="3" name="Picture 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6"/>
                    <a:stretch>
                      <a:fillRect/>
                    </a:stretch>
                  </pic:blipFill>
                  <pic:spPr>
                    <a:xfrm>
                      <a:off x="0" y="0"/>
                      <a:ext cx="4844872" cy="1951406"/>
                    </a:xfrm>
                    <a:prstGeom prst="rect">
                      <a:avLst/>
                    </a:prstGeom>
                  </pic:spPr>
                </pic:pic>
              </a:graphicData>
            </a:graphic>
          </wp:inline>
        </w:drawing>
      </w:r>
    </w:p>
    <w:p w14:paraId="44B11FFE" w14:textId="1D71C566" w:rsidR="000312B9" w:rsidRDefault="000312B9" w:rsidP="00925F1C">
      <w:pPr>
        <w:rPr>
          <w:rFonts w:ascii="Times New Roman" w:hAnsi="Times New Roman" w:cs="Times New Roman"/>
          <w:sz w:val="24"/>
          <w:szCs w:val="24"/>
        </w:rPr>
      </w:pPr>
      <w:r>
        <w:rPr>
          <w:rFonts w:ascii="Times New Roman" w:hAnsi="Times New Roman" w:cs="Times New Roman"/>
          <w:sz w:val="24"/>
          <w:szCs w:val="24"/>
        </w:rPr>
        <w:t>Students learning patterns during the whole course</w:t>
      </w:r>
    </w:p>
    <w:p w14:paraId="30AE9F4B" w14:textId="59960C9C" w:rsidR="000312B9" w:rsidRDefault="001F2701" w:rsidP="00925F1C">
      <w:pPr>
        <w:rPr>
          <w:rFonts w:ascii="Times New Roman" w:hAnsi="Times New Roman" w:cs="Times New Roman"/>
          <w:sz w:val="24"/>
          <w:szCs w:val="24"/>
        </w:rPr>
      </w:pPr>
      <w:r w:rsidRPr="001F2701">
        <w:rPr>
          <w:rFonts w:ascii="Times New Roman" w:hAnsi="Times New Roman" w:cs="Times New Roman"/>
          <w:noProof/>
          <w:sz w:val="24"/>
          <w:szCs w:val="24"/>
        </w:rPr>
        <w:lastRenderedPageBreak/>
        <w:drawing>
          <wp:inline distT="0" distB="0" distL="0" distR="0" wp14:anchorId="2EC97347" wp14:editId="05A6584C">
            <wp:extent cx="5943600" cy="205930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7"/>
                    <a:stretch>
                      <a:fillRect/>
                    </a:stretch>
                  </pic:blipFill>
                  <pic:spPr>
                    <a:xfrm>
                      <a:off x="0" y="0"/>
                      <a:ext cx="5943600" cy="2059305"/>
                    </a:xfrm>
                    <a:prstGeom prst="rect">
                      <a:avLst/>
                    </a:prstGeom>
                  </pic:spPr>
                </pic:pic>
              </a:graphicData>
            </a:graphic>
          </wp:inline>
        </w:drawing>
      </w:r>
    </w:p>
    <w:p w14:paraId="6C6EB4EE" w14:textId="68BFA0B8" w:rsidR="001F2701" w:rsidRDefault="001F2701" w:rsidP="00925F1C">
      <w:pPr>
        <w:rPr>
          <w:rFonts w:ascii="Times New Roman" w:hAnsi="Times New Roman" w:cs="Times New Roman"/>
          <w:sz w:val="24"/>
          <w:szCs w:val="24"/>
        </w:rPr>
      </w:pPr>
      <w:r>
        <w:rPr>
          <w:rFonts w:ascii="Times New Roman" w:hAnsi="Times New Roman" w:cs="Times New Roman"/>
          <w:sz w:val="24"/>
          <w:szCs w:val="24"/>
        </w:rPr>
        <w:t>Explanations about the predictions about students’ learning</w:t>
      </w:r>
    </w:p>
    <w:p w14:paraId="3C86F2B0" w14:textId="77777777" w:rsidR="00A33EEF" w:rsidRPr="00925F1C" w:rsidRDefault="00A33EEF" w:rsidP="00925F1C">
      <w:pPr>
        <w:rPr>
          <w:rFonts w:ascii="Times New Roman" w:eastAsia="Times New Roman" w:hAnsi="Times New Roman" w:cs="Times New Roman"/>
          <w:sz w:val="24"/>
          <w:szCs w:val="24"/>
        </w:rPr>
      </w:pPr>
    </w:p>
    <w:p w14:paraId="4DBAB385" w14:textId="49636BBB" w:rsidR="00D46AFD" w:rsidRDefault="00576643" w:rsidP="00D46AFD">
      <w:pPr>
        <w:rPr>
          <w:rFonts w:ascii="Times New Roman" w:hAnsi="Times New Roman" w:cs="Times New Roman"/>
          <w:sz w:val="24"/>
          <w:szCs w:val="24"/>
        </w:rPr>
      </w:pPr>
      <w:r>
        <w:rPr>
          <w:noProof/>
        </w:rPr>
        <w:drawing>
          <wp:inline distT="0" distB="0" distL="0" distR="0" wp14:anchorId="730EE329" wp14:editId="5354B09B">
            <wp:extent cx="5943600" cy="24384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14:paraId="6D15011B" w14:textId="59D847F7" w:rsidR="00811C91" w:rsidRDefault="00811C91"/>
    <w:p w14:paraId="173C8D31" w14:textId="77777777" w:rsidR="00811C91" w:rsidRPr="00A31AB8" w:rsidRDefault="00811C91" w:rsidP="00811C91">
      <w:pPr>
        <w:rPr>
          <w:b/>
        </w:rPr>
      </w:pPr>
      <w:r w:rsidRPr="009A5F9E">
        <w:rPr>
          <w:b/>
        </w:rPr>
        <w:t>Relevant publications</w:t>
      </w:r>
    </w:p>
    <w:p w14:paraId="71BE1D09" w14:textId="256CE1CD" w:rsidR="008F3556" w:rsidRDefault="008F3556" w:rsidP="00811C91">
      <w:pPr>
        <w:spacing w:after="0" w:line="240" w:lineRule="auto"/>
        <w:rPr>
          <w:rFonts w:ascii="Arial" w:eastAsia="Times New Roman" w:hAnsi="Arial" w:cs="Arial"/>
          <w:color w:val="222222"/>
          <w:sz w:val="20"/>
          <w:szCs w:val="20"/>
          <w:shd w:val="clear" w:color="auto" w:fill="FFFFFF"/>
        </w:rPr>
      </w:pPr>
    </w:p>
    <w:p w14:paraId="5D1F2EF1" w14:textId="10F06AE6" w:rsidR="008F3556" w:rsidRPr="00811C91" w:rsidRDefault="008F3556" w:rsidP="00811C91">
      <w:pPr>
        <w:spacing w:after="0" w:line="240" w:lineRule="auto"/>
        <w:rPr>
          <w:rFonts w:ascii="Times New Roman" w:eastAsia="Times New Roman" w:hAnsi="Times New Roman" w:cs="Times New Roman"/>
          <w:sz w:val="24"/>
          <w:szCs w:val="24"/>
        </w:rPr>
      </w:pPr>
      <w:r w:rsidRPr="008F3556">
        <w:rPr>
          <w:rFonts w:ascii="Arial" w:eastAsia="Times New Roman" w:hAnsi="Arial" w:cs="Arial"/>
          <w:color w:val="222222"/>
          <w:sz w:val="20"/>
          <w:szCs w:val="20"/>
          <w:shd w:val="clear" w:color="auto" w:fill="FFFFFF"/>
        </w:rPr>
        <w:t xml:space="preserve">Xing, W., Du, D., </w:t>
      </w:r>
      <w:proofErr w:type="spellStart"/>
      <w:r w:rsidRPr="008F3556">
        <w:rPr>
          <w:rFonts w:ascii="Arial" w:eastAsia="Times New Roman" w:hAnsi="Arial" w:cs="Arial"/>
          <w:color w:val="222222"/>
          <w:sz w:val="20"/>
          <w:szCs w:val="20"/>
          <w:shd w:val="clear" w:color="auto" w:fill="FFFFFF"/>
        </w:rPr>
        <w:t>Bakhshi</w:t>
      </w:r>
      <w:proofErr w:type="spellEnd"/>
      <w:r w:rsidRPr="008F3556">
        <w:rPr>
          <w:rFonts w:ascii="Arial" w:eastAsia="Times New Roman" w:hAnsi="Arial" w:cs="Arial"/>
          <w:color w:val="222222"/>
          <w:sz w:val="20"/>
          <w:szCs w:val="20"/>
          <w:shd w:val="clear" w:color="auto" w:fill="FFFFFF"/>
        </w:rPr>
        <w:t>, A., Chiu, K. C., &amp; Du, H. (2021). Designing a Transferable Predictive Model for Online Learning Using a Bayesian Updating Approach. </w:t>
      </w:r>
      <w:r w:rsidRPr="008F3556">
        <w:rPr>
          <w:rFonts w:ascii="Arial" w:eastAsia="Times New Roman" w:hAnsi="Arial" w:cs="Arial"/>
          <w:i/>
          <w:iCs/>
          <w:color w:val="222222"/>
          <w:sz w:val="20"/>
          <w:szCs w:val="20"/>
          <w:shd w:val="clear" w:color="auto" w:fill="FFFFFF"/>
        </w:rPr>
        <w:t>IEEE Transactions on Learning Technologies</w:t>
      </w:r>
      <w:r w:rsidRPr="008F3556">
        <w:rPr>
          <w:rFonts w:ascii="Arial" w:eastAsia="Times New Roman" w:hAnsi="Arial" w:cs="Arial"/>
          <w:color w:val="222222"/>
          <w:sz w:val="20"/>
          <w:szCs w:val="20"/>
          <w:shd w:val="clear" w:color="auto" w:fill="FFFFFF"/>
        </w:rPr>
        <w:t>, </w:t>
      </w:r>
      <w:r w:rsidRPr="008F3556">
        <w:rPr>
          <w:rFonts w:ascii="Arial" w:eastAsia="Times New Roman" w:hAnsi="Arial" w:cs="Arial"/>
          <w:i/>
          <w:iCs/>
          <w:color w:val="222222"/>
          <w:sz w:val="20"/>
          <w:szCs w:val="20"/>
          <w:shd w:val="clear" w:color="auto" w:fill="FFFFFF"/>
        </w:rPr>
        <w:t>14</w:t>
      </w:r>
      <w:r w:rsidRPr="008F3556">
        <w:rPr>
          <w:rFonts w:ascii="Arial" w:eastAsia="Times New Roman" w:hAnsi="Arial" w:cs="Arial"/>
          <w:color w:val="222222"/>
          <w:sz w:val="20"/>
          <w:szCs w:val="20"/>
          <w:shd w:val="clear" w:color="auto" w:fill="FFFFFF"/>
        </w:rPr>
        <w:t>(4), 474-485.</w:t>
      </w:r>
    </w:p>
    <w:p w14:paraId="4310075F" w14:textId="77777777" w:rsidR="009B52B5" w:rsidRDefault="009B52B5" w:rsidP="00CF2E8C">
      <w:pPr>
        <w:spacing w:after="0" w:line="240" w:lineRule="auto"/>
        <w:rPr>
          <w:rFonts w:ascii="Arial" w:eastAsia="Times New Roman" w:hAnsi="Arial" w:cs="Arial"/>
          <w:color w:val="222222"/>
          <w:sz w:val="20"/>
          <w:szCs w:val="20"/>
          <w:shd w:val="clear" w:color="auto" w:fill="FFFFFF"/>
        </w:rPr>
      </w:pPr>
    </w:p>
    <w:p w14:paraId="371BC368" w14:textId="77777777" w:rsidR="00C204C2" w:rsidRDefault="00C204C2" w:rsidP="00C204C2">
      <w:pPr>
        <w:spacing w:after="0" w:line="240" w:lineRule="auto"/>
        <w:rPr>
          <w:rFonts w:ascii="Arial" w:eastAsia="Times New Roman" w:hAnsi="Arial" w:cs="Arial"/>
          <w:color w:val="222222"/>
          <w:sz w:val="20"/>
          <w:szCs w:val="20"/>
          <w:shd w:val="clear" w:color="auto" w:fill="FFFFFF"/>
        </w:rPr>
      </w:pPr>
    </w:p>
    <w:p w14:paraId="033FAC5A" w14:textId="77EC3B5F" w:rsidR="00C204C2" w:rsidRDefault="00C204C2" w:rsidP="00C204C2">
      <w:pPr>
        <w:spacing w:after="0" w:line="240" w:lineRule="auto"/>
        <w:rPr>
          <w:rFonts w:ascii="Arial" w:eastAsia="Times New Roman" w:hAnsi="Arial" w:cs="Arial"/>
          <w:color w:val="222222"/>
          <w:sz w:val="20"/>
          <w:szCs w:val="20"/>
          <w:shd w:val="clear" w:color="auto" w:fill="FFFFFF"/>
        </w:rPr>
      </w:pPr>
      <w:r w:rsidRPr="00C204C2">
        <w:rPr>
          <w:rFonts w:ascii="Arial" w:eastAsia="Times New Roman" w:hAnsi="Arial" w:cs="Arial"/>
          <w:color w:val="222222"/>
          <w:sz w:val="20"/>
          <w:szCs w:val="20"/>
          <w:shd w:val="clear" w:color="auto" w:fill="FFFFFF"/>
        </w:rPr>
        <w:t>Pei, B., &amp; Xing, W. (2021). An Interpretable Pipeline for Identifying At-Risk Students. </w:t>
      </w:r>
      <w:r w:rsidRPr="00C204C2">
        <w:rPr>
          <w:rFonts w:ascii="Arial" w:eastAsia="Times New Roman" w:hAnsi="Arial" w:cs="Arial"/>
          <w:i/>
          <w:iCs/>
          <w:color w:val="222222"/>
          <w:sz w:val="20"/>
          <w:szCs w:val="20"/>
          <w:shd w:val="clear" w:color="auto" w:fill="FFFFFF"/>
        </w:rPr>
        <w:t>Journal of Educational Computing Research</w:t>
      </w:r>
      <w:r w:rsidRPr="00C204C2">
        <w:rPr>
          <w:rFonts w:ascii="Arial" w:eastAsia="Times New Roman" w:hAnsi="Arial" w:cs="Arial"/>
          <w:color w:val="222222"/>
          <w:sz w:val="20"/>
          <w:szCs w:val="20"/>
          <w:shd w:val="clear" w:color="auto" w:fill="FFFFFF"/>
        </w:rPr>
        <w:t>, 07356331211038168.</w:t>
      </w:r>
    </w:p>
    <w:p w14:paraId="3CAEA0ED" w14:textId="12606FDA" w:rsidR="00C86B7D" w:rsidRDefault="00C86B7D" w:rsidP="00C204C2">
      <w:pPr>
        <w:spacing w:after="0" w:line="240" w:lineRule="auto"/>
        <w:rPr>
          <w:rFonts w:ascii="Arial" w:eastAsia="Times New Roman" w:hAnsi="Arial" w:cs="Arial"/>
          <w:color w:val="222222"/>
          <w:sz w:val="20"/>
          <w:szCs w:val="20"/>
          <w:shd w:val="clear" w:color="auto" w:fill="FFFFFF"/>
        </w:rPr>
      </w:pPr>
    </w:p>
    <w:p w14:paraId="024475F4" w14:textId="77777777" w:rsidR="000B0259" w:rsidRDefault="000B0259" w:rsidP="00C86B7D">
      <w:pPr>
        <w:spacing w:after="0" w:line="240" w:lineRule="auto"/>
        <w:rPr>
          <w:rFonts w:ascii="Arial" w:eastAsia="Times New Roman" w:hAnsi="Arial" w:cs="Arial"/>
          <w:color w:val="222222"/>
          <w:sz w:val="20"/>
          <w:szCs w:val="20"/>
          <w:shd w:val="clear" w:color="auto" w:fill="FFFFFF"/>
        </w:rPr>
      </w:pPr>
    </w:p>
    <w:p w14:paraId="0F94DA0B" w14:textId="2DE5DE5D" w:rsidR="000B0259" w:rsidRPr="00C86B7D" w:rsidRDefault="00B94751" w:rsidP="00C86B7D">
      <w:pPr>
        <w:spacing w:after="0" w:line="240" w:lineRule="auto"/>
        <w:rPr>
          <w:rFonts w:ascii="Times New Roman" w:eastAsia="Times New Roman" w:hAnsi="Times New Roman" w:cs="Times New Roman"/>
          <w:sz w:val="24"/>
          <w:szCs w:val="24"/>
        </w:rPr>
      </w:pPr>
      <w:r>
        <w:rPr>
          <w:rFonts w:ascii="Helvetica" w:hAnsi="Helvetica" w:cs="Helvetica"/>
          <w:color w:val="222222"/>
          <w:shd w:val="clear" w:color="auto" w:fill="FFFFFF"/>
        </w:rPr>
        <w:t>Check out the papers published in </w:t>
      </w:r>
      <w:hyperlink r:id="rId9" w:tgtFrame="_blank" w:history="1">
        <w:r>
          <w:rPr>
            <w:rStyle w:val="Hyperlink"/>
            <w:rFonts w:ascii="Helvetica" w:hAnsi="Helvetica" w:cs="Helvetica"/>
            <w:color w:val="2BA6CB"/>
            <w:shd w:val="clear" w:color="auto" w:fill="FFFFFF"/>
          </w:rPr>
          <w:t>Computers &amp; Education </w:t>
        </w:r>
      </w:hyperlink>
      <w:r>
        <w:rPr>
          <w:rFonts w:ascii="Helvetica" w:hAnsi="Helvetica" w:cs="Helvetica"/>
          <w:color w:val="222222"/>
          <w:shd w:val="clear" w:color="auto" w:fill="FFFFFF"/>
        </w:rPr>
        <w:t>and </w:t>
      </w:r>
      <w:hyperlink r:id="rId10" w:tgtFrame="_blank" w:history="1">
        <w:r>
          <w:rPr>
            <w:rStyle w:val="Hyperlink"/>
            <w:rFonts w:ascii="Helvetica" w:hAnsi="Helvetica" w:cs="Helvetica"/>
            <w:color w:val="2BA6CB"/>
            <w:shd w:val="clear" w:color="auto" w:fill="FFFFFF"/>
          </w:rPr>
          <w:t>Computer Supported Collaborative Learning (CSCL)</w:t>
        </w:r>
      </w:hyperlink>
      <w:r>
        <w:rPr>
          <w:rFonts w:ascii="Helvetica" w:hAnsi="Helvetica" w:cs="Helvetica"/>
          <w:color w:val="222222"/>
          <w:shd w:val="clear" w:color="auto" w:fill="FFFFFF"/>
        </w:rPr>
        <w:t>.</w:t>
      </w:r>
    </w:p>
    <w:p w14:paraId="18AFCA2D" w14:textId="77777777" w:rsidR="00C86B7D" w:rsidRPr="00C204C2" w:rsidRDefault="00C86B7D" w:rsidP="00C204C2">
      <w:pPr>
        <w:spacing w:after="0" w:line="240" w:lineRule="auto"/>
        <w:rPr>
          <w:rFonts w:ascii="Times New Roman" w:eastAsia="Times New Roman" w:hAnsi="Times New Roman" w:cs="Times New Roman"/>
          <w:sz w:val="24"/>
          <w:szCs w:val="24"/>
        </w:rPr>
      </w:pPr>
    </w:p>
    <w:sectPr w:rsidR="00C86B7D" w:rsidRPr="00C204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2FBB"/>
    <w:rsid w:val="00015867"/>
    <w:rsid w:val="00020524"/>
    <w:rsid w:val="000312B9"/>
    <w:rsid w:val="0005679F"/>
    <w:rsid w:val="0006207E"/>
    <w:rsid w:val="000B0259"/>
    <w:rsid w:val="00113A78"/>
    <w:rsid w:val="001309B0"/>
    <w:rsid w:val="0018772C"/>
    <w:rsid w:val="001B5E2D"/>
    <w:rsid w:val="001B716B"/>
    <w:rsid w:val="001C58EF"/>
    <w:rsid w:val="001F166B"/>
    <w:rsid w:val="001F2701"/>
    <w:rsid w:val="002577F5"/>
    <w:rsid w:val="0030464C"/>
    <w:rsid w:val="00355BDD"/>
    <w:rsid w:val="003B19DD"/>
    <w:rsid w:val="003F3AD5"/>
    <w:rsid w:val="0041125B"/>
    <w:rsid w:val="00435717"/>
    <w:rsid w:val="00495EF9"/>
    <w:rsid w:val="004E532C"/>
    <w:rsid w:val="005029DE"/>
    <w:rsid w:val="005254BE"/>
    <w:rsid w:val="00531122"/>
    <w:rsid w:val="005616A1"/>
    <w:rsid w:val="00576643"/>
    <w:rsid w:val="005B1A0F"/>
    <w:rsid w:val="006018E6"/>
    <w:rsid w:val="00601DD9"/>
    <w:rsid w:val="0062287F"/>
    <w:rsid w:val="006406D2"/>
    <w:rsid w:val="0067542A"/>
    <w:rsid w:val="006A7C6A"/>
    <w:rsid w:val="006F64F1"/>
    <w:rsid w:val="007228E0"/>
    <w:rsid w:val="007A7CB7"/>
    <w:rsid w:val="007B0201"/>
    <w:rsid w:val="007B4BFA"/>
    <w:rsid w:val="00811C91"/>
    <w:rsid w:val="008B3E14"/>
    <w:rsid w:val="008F3556"/>
    <w:rsid w:val="0090057C"/>
    <w:rsid w:val="00902FBB"/>
    <w:rsid w:val="00921FFE"/>
    <w:rsid w:val="00925F1C"/>
    <w:rsid w:val="00977F8B"/>
    <w:rsid w:val="009A408B"/>
    <w:rsid w:val="009A7796"/>
    <w:rsid w:val="009B52B5"/>
    <w:rsid w:val="009F4374"/>
    <w:rsid w:val="00A33EEF"/>
    <w:rsid w:val="00A3474A"/>
    <w:rsid w:val="00A42F19"/>
    <w:rsid w:val="00A87805"/>
    <w:rsid w:val="00AD6DE6"/>
    <w:rsid w:val="00B04DEE"/>
    <w:rsid w:val="00B94751"/>
    <w:rsid w:val="00BA4517"/>
    <w:rsid w:val="00C001A6"/>
    <w:rsid w:val="00C13D9A"/>
    <w:rsid w:val="00C204C2"/>
    <w:rsid w:val="00C86B7D"/>
    <w:rsid w:val="00CF2705"/>
    <w:rsid w:val="00CF2E8C"/>
    <w:rsid w:val="00D46AFD"/>
    <w:rsid w:val="00D729B7"/>
    <w:rsid w:val="00D73D61"/>
    <w:rsid w:val="00DD197B"/>
    <w:rsid w:val="00DD4F29"/>
    <w:rsid w:val="00E45557"/>
    <w:rsid w:val="00EA0257"/>
    <w:rsid w:val="00EC2939"/>
    <w:rsid w:val="00F438D2"/>
    <w:rsid w:val="00F73D26"/>
    <w:rsid w:val="00FB1085"/>
    <w:rsid w:val="00FC5041"/>
    <w:rsid w:val="00FD02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DD1B6"/>
  <w15:chartTrackingRefBased/>
  <w15:docId w15:val="{D5B29B21-AC04-4A4D-BAA4-0B6668D35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474A"/>
    <w:rPr>
      <w:color w:val="0563C1" w:themeColor="hyperlink"/>
      <w:u w:val="single"/>
    </w:rPr>
  </w:style>
  <w:style w:type="character" w:styleId="UnresolvedMention">
    <w:name w:val="Unresolved Mention"/>
    <w:basedOn w:val="DefaultParagraphFont"/>
    <w:uiPriority w:val="99"/>
    <w:semiHidden/>
    <w:unhideWhenUsed/>
    <w:rsid w:val="00A347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63375">
      <w:bodyDiv w:val="1"/>
      <w:marLeft w:val="0"/>
      <w:marRight w:val="0"/>
      <w:marTop w:val="0"/>
      <w:marBottom w:val="0"/>
      <w:divBdr>
        <w:top w:val="none" w:sz="0" w:space="0" w:color="auto"/>
        <w:left w:val="none" w:sz="0" w:space="0" w:color="auto"/>
        <w:bottom w:val="none" w:sz="0" w:space="0" w:color="auto"/>
        <w:right w:val="none" w:sz="0" w:space="0" w:color="auto"/>
      </w:divBdr>
    </w:div>
    <w:div w:id="479619768">
      <w:bodyDiv w:val="1"/>
      <w:marLeft w:val="0"/>
      <w:marRight w:val="0"/>
      <w:marTop w:val="0"/>
      <w:marBottom w:val="0"/>
      <w:divBdr>
        <w:top w:val="none" w:sz="0" w:space="0" w:color="auto"/>
        <w:left w:val="none" w:sz="0" w:space="0" w:color="auto"/>
        <w:bottom w:val="none" w:sz="0" w:space="0" w:color="auto"/>
        <w:right w:val="none" w:sz="0" w:space="0" w:color="auto"/>
      </w:divBdr>
    </w:div>
    <w:div w:id="508761681">
      <w:bodyDiv w:val="1"/>
      <w:marLeft w:val="0"/>
      <w:marRight w:val="0"/>
      <w:marTop w:val="0"/>
      <w:marBottom w:val="0"/>
      <w:divBdr>
        <w:top w:val="none" w:sz="0" w:space="0" w:color="auto"/>
        <w:left w:val="none" w:sz="0" w:space="0" w:color="auto"/>
        <w:bottom w:val="none" w:sz="0" w:space="0" w:color="auto"/>
        <w:right w:val="none" w:sz="0" w:space="0" w:color="auto"/>
      </w:divBdr>
    </w:div>
    <w:div w:id="736633442">
      <w:bodyDiv w:val="1"/>
      <w:marLeft w:val="0"/>
      <w:marRight w:val="0"/>
      <w:marTop w:val="0"/>
      <w:marBottom w:val="0"/>
      <w:divBdr>
        <w:top w:val="none" w:sz="0" w:space="0" w:color="auto"/>
        <w:left w:val="none" w:sz="0" w:space="0" w:color="auto"/>
        <w:bottom w:val="none" w:sz="0" w:space="0" w:color="auto"/>
        <w:right w:val="none" w:sz="0" w:space="0" w:color="auto"/>
      </w:divBdr>
    </w:div>
    <w:div w:id="752429779">
      <w:bodyDiv w:val="1"/>
      <w:marLeft w:val="0"/>
      <w:marRight w:val="0"/>
      <w:marTop w:val="0"/>
      <w:marBottom w:val="0"/>
      <w:divBdr>
        <w:top w:val="none" w:sz="0" w:space="0" w:color="auto"/>
        <w:left w:val="none" w:sz="0" w:space="0" w:color="auto"/>
        <w:bottom w:val="none" w:sz="0" w:space="0" w:color="auto"/>
        <w:right w:val="none" w:sz="0" w:space="0" w:color="auto"/>
      </w:divBdr>
    </w:div>
    <w:div w:id="883374188">
      <w:bodyDiv w:val="1"/>
      <w:marLeft w:val="0"/>
      <w:marRight w:val="0"/>
      <w:marTop w:val="0"/>
      <w:marBottom w:val="0"/>
      <w:divBdr>
        <w:top w:val="none" w:sz="0" w:space="0" w:color="auto"/>
        <w:left w:val="none" w:sz="0" w:space="0" w:color="auto"/>
        <w:bottom w:val="none" w:sz="0" w:space="0" w:color="auto"/>
        <w:right w:val="none" w:sz="0" w:space="0" w:color="auto"/>
      </w:divBdr>
    </w:div>
    <w:div w:id="1263882201">
      <w:bodyDiv w:val="1"/>
      <w:marLeft w:val="0"/>
      <w:marRight w:val="0"/>
      <w:marTop w:val="0"/>
      <w:marBottom w:val="0"/>
      <w:divBdr>
        <w:top w:val="none" w:sz="0" w:space="0" w:color="auto"/>
        <w:left w:val="none" w:sz="0" w:space="0" w:color="auto"/>
        <w:bottom w:val="none" w:sz="0" w:space="0" w:color="auto"/>
        <w:right w:val="none" w:sz="0" w:space="0" w:color="auto"/>
      </w:divBdr>
    </w:div>
    <w:div w:id="1269242676">
      <w:bodyDiv w:val="1"/>
      <w:marLeft w:val="0"/>
      <w:marRight w:val="0"/>
      <w:marTop w:val="0"/>
      <w:marBottom w:val="0"/>
      <w:divBdr>
        <w:top w:val="none" w:sz="0" w:space="0" w:color="auto"/>
        <w:left w:val="none" w:sz="0" w:space="0" w:color="auto"/>
        <w:bottom w:val="none" w:sz="0" w:space="0" w:color="auto"/>
        <w:right w:val="none" w:sz="0" w:space="0" w:color="auto"/>
      </w:divBdr>
    </w:div>
    <w:div w:id="1367561413">
      <w:bodyDiv w:val="1"/>
      <w:marLeft w:val="0"/>
      <w:marRight w:val="0"/>
      <w:marTop w:val="0"/>
      <w:marBottom w:val="0"/>
      <w:divBdr>
        <w:top w:val="none" w:sz="0" w:space="0" w:color="auto"/>
        <w:left w:val="none" w:sz="0" w:space="0" w:color="auto"/>
        <w:bottom w:val="none" w:sz="0" w:space="0" w:color="auto"/>
        <w:right w:val="none" w:sz="0" w:space="0" w:color="auto"/>
      </w:divBdr>
    </w:div>
    <w:div w:id="1878279140">
      <w:bodyDiv w:val="1"/>
      <w:marLeft w:val="0"/>
      <w:marRight w:val="0"/>
      <w:marTop w:val="0"/>
      <w:marBottom w:val="0"/>
      <w:divBdr>
        <w:top w:val="none" w:sz="0" w:space="0" w:color="auto"/>
        <w:left w:val="none" w:sz="0" w:space="0" w:color="auto"/>
        <w:bottom w:val="none" w:sz="0" w:space="0" w:color="auto"/>
        <w:right w:val="none" w:sz="0" w:space="0" w:color="auto"/>
      </w:divBdr>
    </w:div>
    <w:div w:id="2098285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file:///C:\Users\wanlixing\Dropbox%20(UFL)\A%20NEXT%20IDEA\1%20UF%20Research%20Group\xing_website\Sample\www\pub\CSCL_2015_xing.pdf" TargetMode="External"/><Relationship Id="rId4" Type="http://schemas.openxmlformats.org/officeDocument/2006/relationships/hyperlink" Target="https://www.psu.edu/news/academics/story/center-online-innovation-learning-announces-spring-2017-grant-recipients/" TargetMode="External"/><Relationship Id="rId9" Type="http://schemas.openxmlformats.org/officeDocument/2006/relationships/hyperlink" Target="file:///C:\Users\wanlixing\Dropbox%20(UFL)\A%20NEXT%20IDEA\1%20UF%20Research%20Group\xing_website\Sample\www\pub\CE_PLS_Xing.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2</Pages>
  <Words>282</Words>
  <Characters>1612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Xing,Wanli</dc:creator>
  <cp:keywords/>
  <dc:description/>
  <cp:lastModifiedBy>Xing,Wanli</cp:lastModifiedBy>
  <cp:revision>134</cp:revision>
  <dcterms:created xsi:type="dcterms:W3CDTF">2022-05-18T16:11:00Z</dcterms:created>
  <dcterms:modified xsi:type="dcterms:W3CDTF">2022-05-22T16:09:00Z</dcterms:modified>
</cp:coreProperties>
</file>