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EFCA" w14:textId="31867E0E" w:rsidR="004E532C" w:rsidRPr="00412891" w:rsidRDefault="004128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is generously funded by</w:t>
      </w:r>
      <w:r w:rsidR="00050D76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412891">
          <w:rPr>
            <w:rStyle w:val="Hyperlink"/>
            <w:rFonts w:ascii="Times New Roman" w:hAnsi="Times New Roman" w:cs="Times New Roman"/>
          </w:rPr>
          <w:t>NSF (EHR CORE Research Subcontract)</w:t>
        </w:r>
      </w:hyperlink>
      <w:r>
        <w:rPr>
          <w:rFonts w:ascii="Times New Roman" w:hAnsi="Times New Roman" w:cs="Times New Roman"/>
        </w:rPr>
        <w:t xml:space="preserve">. </w:t>
      </w:r>
      <w:r w:rsidRPr="00412891">
        <w:rPr>
          <w:rFonts w:ascii="Times New Roman" w:hAnsi="Times New Roman" w:cs="Times New Roman"/>
        </w:rPr>
        <w:t>Practicing science is one of the most important goals of K-12 engineering education, which is now part of the Next Generation Science Standards.</w:t>
      </w:r>
      <w:r w:rsidR="002E2CA8" w:rsidRPr="002E2CA8">
        <w:t xml:space="preserve"> </w:t>
      </w:r>
      <w:r w:rsidR="002E2CA8" w:rsidRPr="002E2CA8">
        <w:rPr>
          <w:rFonts w:ascii="Times New Roman" w:hAnsi="Times New Roman" w:cs="Times New Roman"/>
        </w:rPr>
        <w:t>This project is delving into large quantities of process data to systematically identify bottlenecks in design processes that pose difficulties for students to apply science.</w:t>
      </w:r>
      <w:r w:rsidR="00A22CC1">
        <w:rPr>
          <w:rFonts w:ascii="Times New Roman" w:hAnsi="Times New Roman" w:cs="Times New Roman"/>
        </w:rPr>
        <w:t xml:space="preserve"> </w:t>
      </w:r>
      <w:r w:rsidR="00A22CC1" w:rsidRPr="00A22CC1">
        <w:rPr>
          <w:rFonts w:ascii="Times New Roman" w:hAnsi="Times New Roman" w:cs="Times New Roman"/>
        </w:rPr>
        <w:t xml:space="preserve">Large learner datasets are being collected from over </w:t>
      </w:r>
      <w:r w:rsidR="0075517E">
        <w:rPr>
          <w:rFonts w:ascii="Times New Roman" w:hAnsi="Times New Roman" w:cs="Times New Roman"/>
        </w:rPr>
        <w:t>hundreds of</w:t>
      </w:r>
      <w:r w:rsidR="00A22CC1" w:rsidRPr="00A22CC1">
        <w:rPr>
          <w:rFonts w:ascii="Times New Roman" w:hAnsi="Times New Roman" w:cs="Times New Roman"/>
        </w:rPr>
        <w:t xml:space="preserve"> students in Indiana and Massachusetts through automatic, unobtrusive logging of student design processes enabled by a unique CAD tool that supports the design of energy-efficient buildings using thermodynamics and heat transfer concepts. </w:t>
      </w:r>
      <w:r w:rsidR="0094204F">
        <w:rPr>
          <w:rFonts w:ascii="Times New Roman" w:hAnsi="Times New Roman" w:cs="Times New Roman"/>
        </w:rPr>
        <w:t xml:space="preserve">We have conducted a series of data mining studies in connecting with learning sciences theories to better understand students’ engineering design processes and its interaction with their science knowledge and performance. </w:t>
      </w:r>
    </w:p>
    <w:p w14:paraId="1C9BE51D" w14:textId="5AE709EB" w:rsidR="00625277" w:rsidRDefault="00D944E7" w:rsidP="0002648C">
      <w:pPr>
        <w:jc w:val="center"/>
      </w:pPr>
      <w:r>
        <w:rPr>
          <w:noProof/>
        </w:rPr>
        <w:drawing>
          <wp:inline distT="0" distB="0" distL="0" distR="0" wp14:anchorId="6C745F80" wp14:editId="08BD96CB">
            <wp:extent cx="4048626" cy="2520616"/>
            <wp:effectExtent l="0" t="0" r="3175" b="0"/>
            <wp:docPr id="9" name="Picture 8" descr="Ma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1B16F46-F2CE-48CA-BFB9-7A67A52F0A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Map&#10;&#10;Description automatically generated">
                      <a:extLst>
                        <a:ext uri="{FF2B5EF4-FFF2-40B4-BE49-F238E27FC236}">
                          <a16:creationId xmlns:a16="http://schemas.microsoft.com/office/drawing/2014/main" id="{B1B16F46-F2CE-48CA-BFB9-7A67A52F0A53}"/>
                        </a:ext>
                      </a:extLst>
                    </pic:cNvPr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1"/>
                    <a:stretch/>
                  </pic:blipFill>
                  <pic:spPr bwMode="auto">
                    <a:xfrm>
                      <a:off x="0" y="0"/>
                      <a:ext cx="4112006" cy="256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B13D03" w14:textId="77777777" w:rsidR="00CA72C1" w:rsidRPr="0002648C" w:rsidRDefault="00CA72C1" w:rsidP="0002648C">
      <w:pPr>
        <w:jc w:val="center"/>
        <w:rPr>
          <w:rFonts w:ascii="Times New Roman" w:hAnsi="Times New Roman" w:cs="Times New Roman"/>
          <w:sz w:val="18"/>
          <w:szCs w:val="18"/>
        </w:rPr>
      </w:pPr>
      <w:r w:rsidRPr="0002648C">
        <w:rPr>
          <w:rFonts w:ascii="Times New Roman" w:hAnsi="Times New Roman" w:cs="Times New Roman"/>
          <w:sz w:val="18"/>
          <w:szCs w:val="18"/>
        </w:rPr>
        <w:t>CAD learning environment</w:t>
      </w:r>
    </w:p>
    <w:p w14:paraId="617E6DC3" w14:textId="77777777" w:rsidR="00C17A54" w:rsidRDefault="00C17A54"/>
    <w:p w14:paraId="4A45AB3B" w14:textId="52DF071E" w:rsidR="00C17A54" w:rsidRDefault="00C17A54" w:rsidP="00D33238">
      <w:pPr>
        <w:jc w:val="center"/>
      </w:pPr>
      <w:r>
        <w:rPr>
          <w:noProof/>
        </w:rPr>
        <w:drawing>
          <wp:inline distT="0" distB="0" distL="0" distR="0" wp14:anchorId="0EED951B" wp14:editId="72BF15BC">
            <wp:extent cx="2036507" cy="1509963"/>
            <wp:effectExtent l="0" t="0" r="0" b="1905"/>
            <wp:docPr id="3" name="Picture 3" descr="https://ars.els-cdn.com/content/image/1-s2.0-S0360131520301858-gr4_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rs.els-cdn.com/content/image/1-s2.0-S0360131520301858-gr4_lr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964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648C" w:rsidRPr="00880341">
        <w:rPr>
          <w:noProof/>
        </w:rPr>
        <w:drawing>
          <wp:inline distT="0" distB="0" distL="0" distR="0" wp14:anchorId="5120EC34" wp14:editId="77126CB7">
            <wp:extent cx="3035805" cy="1570121"/>
            <wp:effectExtent l="0" t="0" r="0" b="5080"/>
            <wp:docPr id="2" name="Picture 2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415" cy="160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6C4A8" w14:textId="77777777" w:rsidR="00CA72C1" w:rsidRPr="0002648C" w:rsidRDefault="00CA72C1" w:rsidP="0002648C">
      <w:pPr>
        <w:jc w:val="center"/>
        <w:rPr>
          <w:rFonts w:ascii="Times New Roman" w:hAnsi="Times New Roman" w:cs="Times New Roman"/>
          <w:sz w:val="18"/>
          <w:szCs w:val="18"/>
        </w:rPr>
      </w:pPr>
      <w:r w:rsidRPr="0002648C">
        <w:rPr>
          <w:rFonts w:ascii="Times New Roman" w:hAnsi="Times New Roman" w:cs="Times New Roman"/>
          <w:sz w:val="18"/>
          <w:szCs w:val="18"/>
        </w:rPr>
        <w:t>A network of SRL dynamics when students design energy houses in CAD</w:t>
      </w:r>
      <w:r w:rsidR="00542B7C" w:rsidRPr="0002648C">
        <w:rPr>
          <w:rFonts w:ascii="Times New Roman" w:hAnsi="Times New Roman" w:cs="Times New Roman"/>
          <w:sz w:val="18"/>
          <w:szCs w:val="18"/>
        </w:rPr>
        <w:t xml:space="preserve"> learning environment</w:t>
      </w:r>
    </w:p>
    <w:p w14:paraId="7D735325" w14:textId="00EE6180" w:rsidR="00C17A54" w:rsidRDefault="00C17A54"/>
    <w:p w14:paraId="541F0E6B" w14:textId="6CD9F0C1" w:rsidR="00880341" w:rsidRDefault="00880341">
      <w:r w:rsidRPr="00880341">
        <w:rPr>
          <w:noProof/>
        </w:rPr>
        <w:lastRenderedPageBreak/>
        <w:drawing>
          <wp:inline distT="0" distB="0" distL="0" distR="0" wp14:anchorId="31BD44DC" wp14:editId="3161C180">
            <wp:extent cx="3035805" cy="1570121"/>
            <wp:effectExtent l="0" t="0" r="0" b="5080"/>
            <wp:docPr id="1" name="Picture 1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415" cy="160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4628" w14:textId="0E1B4F94" w:rsidR="00880341" w:rsidRDefault="00402525">
      <w:r>
        <w:t xml:space="preserve">The </w:t>
      </w:r>
      <w:r w:rsidRPr="00402525">
        <w:t>reciprocal relationship between evaluation, reformulation, and design performance</w:t>
      </w:r>
      <w:r>
        <w:t xml:space="preserve"> over time</w:t>
      </w:r>
    </w:p>
    <w:p w14:paraId="0EA8AA33" w14:textId="77777777" w:rsidR="00880341" w:rsidRDefault="00880341"/>
    <w:p w14:paraId="3B551733" w14:textId="77777777" w:rsidR="00880341" w:rsidRDefault="00880341"/>
    <w:p w14:paraId="4C49A4DB" w14:textId="77777777" w:rsidR="00625277" w:rsidRDefault="00310EF2">
      <w:r>
        <w:t>Relevant Publications</w:t>
      </w:r>
    </w:p>
    <w:p w14:paraId="40464D7C" w14:textId="77777777" w:rsidR="00A22CC1" w:rsidRDefault="00A22CC1" w:rsidP="00A22CC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Xing, W., Pei, B., Li, S., Chen, G., &amp; Xie, C. (2019). Using learning analytics to support students’ engineering design: the angle of prediction.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Interactive Learning Environments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1-18.</w:t>
      </w:r>
    </w:p>
    <w:p w14:paraId="64176569" w14:textId="77777777" w:rsidR="00A22CC1" w:rsidRDefault="00A22CC1" w:rsidP="00A22CC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Zheng, J., Xing, W., Zhu, G., Chen, G., Zhao, H., &amp; Xie, C. (2020). Profiling self-regulation behaviors in STEM learning of engineering design.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Computers &amp; Education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143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103669.</w:t>
      </w:r>
    </w:p>
    <w:p w14:paraId="709A6567" w14:textId="77777777" w:rsidR="00A22CC1" w:rsidRDefault="00A22CC1" w:rsidP="00A22CC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Li, S., Chen, G., Xing, W., Zheng, J., &amp; Xie, C. (2020). Longitudinal clustering of students’ self-regulated learning behaviors in engineering design.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Computers &amp; Education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153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103899.</w:t>
      </w:r>
    </w:p>
    <w:p w14:paraId="6E310EB6" w14:textId="77777777" w:rsidR="00A22CC1" w:rsidRDefault="00A22CC1" w:rsidP="00A22CC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Li, S., Du, H., Xing, W., Zheng, J., Chen, G., &amp; Xie, C. (2020). Examining temporal dynamics of self-regulated learning behaviors in STEM learning: A network approach.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Computers &amp; Education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158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103987.</w:t>
      </w:r>
    </w:p>
    <w:p w14:paraId="6B0E4457" w14:textId="77777777" w:rsidR="00DC15F3" w:rsidRDefault="00DC15F3" w:rsidP="00DC15F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Zheng, J., Xing, W., Huang, X., Li, S., Chen, G., &amp; Xie, C. (2020). The role of self-regulated learning on science and design knowledge gains in engineering projects.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Interactive Learning Environments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1-13.</w:t>
      </w:r>
      <w:r w:rsidRPr="00DC15F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1D60B0EC" w14:textId="77777777" w:rsidR="007712D4" w:rsidRDefault="007712D4" w:rsidP="00DC15F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Huang, X., Xing, W., Zhao, H., Chao, J., Schimpf, C., Chen, G., &amp; Xie, C. (2020). Understanding Science Learning Through Writings on Engineering Design.</w:t>
      </w:r>
    </w:p>
    <w:p w14:paraId="21701631" w14:textId="77777777" w:rsidR="00DC15F3" w:rsidRDefault="00DC15F3" w:rsidP="00DC15F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Zhu, G., Zeng, Y., Xing, W., Du, H., &amp; Xie, C. (2021). Reciprocal Relations Between Students’ Evaluation, Reformulation Behaviors, and Engineering Design Performance Over Time.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Science Education and Technology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595-607.</w:t>
      </w:r>
    </w:p>
    <w:p w14:paraId="64102213" w14:textId="77777777" w:rsidR="00DC15F3" w:rsidRDefault="00DC15F3" w:rsidP="00A22CC1"/>
    <w:sectPr w:rsidR="00DC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C202A"/>
    <w:multiLevelType w:val="hybridMultilevel"/>
    <w:tmpl w:val="CEDE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6A0"/>
    <w:rsid w:val="0002648C"/>
    <w:rsid w:val="00050D76"/>
    <w:rsid w:val="00140C85"/>
    <w:rsid w:val="002E2CA8"/>
    <w:rsid w:val="00310EF2"/>
    <w:rsid w:val="003838F3"/>
    <w:rsid w:val="00402525"/>
    <w:rsid w:val="00412891"/>
    <w:rsid w:val="004E532C"/>
    <w:rsid w:val="00501C75"/>
    <w:rsid w:val="00542B7C"/>
    <w:rsid w:val="00583686"/>
    <w:rsid w:val="00625277"/>
    <w:rsid w:val="0075517E"/>
    <w:rsid w:val="007712D4"/>
    <w:rsid w:val="00880341"/>
    <w:rsid w:val="0094204F"/>
    <w:rsid w:val="0099061C"/>
    <w:rsid w:val="009E0883"/>
    <w:rsid w:val="00A22CC1"/>
    <w:rsid w:val="00C17A54"/>
    <w:rsid w:val="00C476A0"/>
    <w:rsid w:val="00CA72C1"/>
    <w:rsid w:val="00D33238"/>
    <w:rsid w:val="00D944E7"/>
    <w:rsid w:val="00DC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134F"/>
  <w15:chartTrackingRefBased/>
  <w15:docId w15:val="{B5380C10-3342-48E3-90FB-71696538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277"/>
    <w:pPr>
      <w:spacing w:after="200" w:line="276" w:lineRule="auto"/>
      <w:ind w:left="720"/>
      <w:contextualSpacing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6252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527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sf.gov/awardsearch/showAward?AWD_ID=134853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Xing,Wanli</dc:creator>
  <cp:keywords/>
  <dc:description/>
  <cp:lastModifiedBy>Pei,Bo</cp:lastModifiedBy>
  <cp:revision>119</cp:revision>
  <dcterms:created xsi:type="dcterms:W3CDTF">2022-05-18T16:01:00Z</dcterms:created>
  <dcterms:modified xsi:type="dcterms:W3CDTF">2022-05-25T16:18:00Z</dcterms:modified>
</cp:coreProperties>
</file>