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Executive Summary with Embedded Charts</w:t>
      </w:r>
    </w:p>
    <w:p>
      <w:pPr>
        <w:pStyle w:val="Normal"/>
        <w:rPr/>
      </w:pPr>
      <w:r>
        <w:rPr/>
        <w:t>Executive Summary: Sprint Metrics and Recommendations</w:t>
        <w:br/>
        <w:t>This report provides detailed recommendations based on quantitative and qualitative ana</w:t>
        <w:br/>
      </w:r>
    </w:p>
    <w:p>
      <w:pPr>
        <w:pStyle w:val="Normal"/>
        <w:rPr/>
      </w:pPr>
      <w:r>
        <w:rPr/>
        <w:t>Detailed Recommendations:</w:t>
        <w:br/>
        <w:t>1. Improve Quality Control:</w:t>
        <w:br/>
        <w:t xml:space="preserve">   - Observation: Defect density peaked in Sprint 2 (0.083 defects per story point).</w:t>
        <w:br/>
        <w:t xml:space="preserve">   - Action: Allocate more time for testing and QA in complex sprints, introduce automated regression </w:t>
        <w:br/>
        <w:t>2. Balance Workload for Consistent Velocity:</w:t>
        <w:br/>
        <w:t xml:space="preserve">   - Observation: Velocity dropped from 60 points in Sprint 2 to 40 in Sprint 3.</w:t>
        <w:br/>
        <w:t xml:space="preserve">   - Action: Use historical velocity trends for planning, avoid overloading sprints with high-complexity </w:t>
        <w:br/>
        <w:t>3. Reduce Work Item Age:</w:t>
        <w:br/>
        <w:t xml:space="preserve">   - Observation: Sprint 2 had the highest average work item age (3 days).</w:t>
        <w:br/>
        <w:t xml:space="preserve">   - Action: Implement daily stand-ups focused on blockers, apply WIP limits to prevent bottlenecks.</w:t>
        <w:br/>
        <w:t>4. Optimize Flow Efficiency:</w:t>
        <w:br/>
        <w:t xml:space="preserve">   - Observation: CFD shows WIP reduction was slower in Sprint 2.</w:t>
        <w:br/>
        <w:t xml:space="preserve">   - Action: Adopt Kanban principles for better visualization, encourage pair programming on critical task</w:t>
        <w:br/>
        <w:t>5. Maintain Customer and Team Satisfaction:</w:t>
        <w:br/>
        <w:t xml:space="preserve">   - Observation: Feedback highlights need for faster AI response and better collaboration tools.</w:t>
        <w:br/>
        <w:t xml:space="preserve">   - Action: Prioritize performance tuning for AI features, invest in collaboration tools and improve sprint </w:t>
        <w:br/>
      </w:r>
    </w:p>
    <w:p>
      <w:pPr>
        <w:pStyle w:val="Normal"/>
        <w:rPr/>
      </w:pPr>
      <w:r>
        <w:rPr/>
        <w:t>Velocity Trends and Burnup Charts</w:t>
        <w:br/>
      </w:r>
    </w:p>
    <w:p>
      <w:pPr>
        <w:pStyle w:val="Normal"/>
        <w:rPr/>
      </w:pPr>
      <w:r>
        <w:rPr/>
        <w:drawing>
          <wp:inline distT="0" distB="0" distL="114935" distR="114935">
            <wp:extent cx="4572000" cy="32658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inline distT="0" distB="0" distL="114935" distR="114935">
            <wp:extent cx="4572000" cy="32658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2</Pages>
  <Words>190</Words>
  <Characters>1121</Characters>
  <CharactersWithSpaces>1343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2025-10-29T16:35:07Z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