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jc w:val="center"/>
        <w:rPr/>
      </w:pPr>
      <w:r>
        <w:rPr/>
        <w:t>Product Concept Document: Solar Water Heating System</w:t>
      </w:r>
    </w:p>
    <w:p>
      <w:pPr>
        <w:pStyle w:val="Heading1"/>
        <w:rPr/>
      </w:pPr>
      <w:r>
        <w:rPr/>
        <w:t>Market Problem or Opportunity</w:t>
      </w:r>
    </w:p>
    <w:p>
      <w:pPr>
        <w:pStyle w:val="Normal"/>
        <w:rPr/>
      </w:pPr>
      <w:r>
        <w:rPr>
          <w:sz w:val="22"/>
        </w:rPr>
        <w:t>There is a growing demand for energy-efficient, environmentally friendly water heating solutions driven by rising energy costs, government mandates on emissions, and increasing consumer awareness. Conventional systems are costly, less efficient, and support for older models is declining. The market opportunity lies in introducing a highly efficient, cost-effective, and user-friendly solar water heating system that addresses these needs and captures market share from traditional and competitor products.</w:t>
      </w:r>
    </w:p>
    <w:p>
      <w:pPr>
        <w:pStyle w:val="Heading1"/>
        <w:rPr/>
      </w:pPr>
      <w:r>
        <w:rPr/>
        <w:t>Market Segments</w:t>
      </w:r>
    </w:p>
    <w:p>
      <w:pPr>
        <w:pStyle w:val="Normal"/>
        <w:rPr/>
      </w:pPr>
      <w:r>
        <w:rPr>
          <w:sz w:val="22"/>
        </w:rPr>
        <w:t>Residential: Homeowners seeking to reduce utility bills and carbon footprint.</w:t>
      </w:r>
    </w:p>
    <w:p>
      <w:pPr>
        <w:pStyle w:val="Normal"/>
        <w:rPr/>
      </w:pPr>
      <w:r>
        <w:rPr>
          <w:sz w:val="22"/>
        </w:rPr>
        <w:t>Commercial: Small to large businesses aiming to lower operational costs and meet sustainability goals.</w:t>
      </w:r>
    </w:p>
    <w:p>
      <w:pPr>
        <w:pStyle w:val="Normal"/>
        <w:rPr/>
      </w:pPr>
      <w:r>
        <w:rPr>
          <w:sz w:val="22"/>
        </w:rPr>
        <w:t>Government: Agencies under mandates for eco-friendly operations and seeking cost-saving incentives.</w:t>
      </w:r>
    </w:p>
    <w:p>
      <w:pPr>
        <w:pStyle w:val="Normal"/>
        <w:rPr/>
      </w:pPr>
      <w:r>
        <w:rPr>
          <w:sz w:val="22"/>
        </w:rPr>
        <w:t>Prioritized segments: Commercial and residential, with a strategic focus on government facilities due to regulatory pressures and incentives.</w:t>
      </w:r>
    </w:p>
    <w:p>
      <w:pPr>
        <w:pStyle w:val="Heading1"/>
        <w:rPr/>
      </w:pPr>
      <w:r>
        <w:rPr/>
        <w:t>Key Financials</w:t>
      </w:r>
    </w:p>
    <w:p>
      <w:pPr>
        <w:pStyle w:val="Normal"/>
        <w:rPr/>
      </w:pPr>
      <w:r>
        <w:rPr>
          <w:sz w:val="22"/>
        </w:rPr>
        <w:t>Estimated Development Cost: USD 3 million</w:t>
      </w:r>
    </w:p>
    <w:p>
      <w:pPr>
        <w:pStyle w:val="Normal"/>
        <w:rPr/>
      </w:pPr>
      <w:r>
        <w:rPr>
          <w:sz w:val="22"/>
        </w:rPr>
        <w:t>Estimated Manufacturing &amp; Launch Cost: USD 2 million</w:t>
      </w:r>
    </w:p>
    <w:p>
      <w:pPr>
        <w:pStyle w:val="Normal"/>
        <w:rPr/>
      </w:pPr>
      <w:r>
        <w:rPr>
          <w:sz w:val="22"/>
        </w:rPr>
        <w:t>Expected Annual Benefits (cost savings, incentives): USD 5 million</w:t>
      </w:r>
    </w:p>
    <w:p>
      <w:pPr>
        <w:pStyle w:val="Normal"/>
        <w:rPr/>
      </w:pPr>
      <w:r>
        <w:rPr>
          <w:sz w:val="22"/>
        </w:rPr>
        <w:t>ROI Year 1: 40%</w:t>
      </w:r>
    </w:p>
    <w:p>
      <w:pPr>
        <w:pStyle w:val="Normal"/>
        <w:rPr/>
      </w:pPr>
      <w:r>
        <w:rPr>
          <w:sz w:val="22"/>
        </w:rPr>
        <w:t>IRR: 35%</w:t>
      </w:r>
    </w:p>
    <w:p>
      <w:pPr>
        <w:pStyle w:val="Normal"/>
        <w:rPr/>
      </w:pPr>
      <w:r>
        <w:rPr>
          <w:sz w:val="22"/>
        </w:rPr>
        <w:t>NPV (at 15% discount rate): USD 5.2 million</w:t>
      </w:r>
    </w:p>
    <w:p>
      <w:pPr>
        <w:pStyle w:val="Heading1"/>
        <w:rPr/>
      </w:pPr>
      <w:r>
        <w:rPr/>
        <w:t>Market Window</w:t>
      </w:r>
    </w:p>
    <w:p>
      <w:pPr>
        <w:pStyle w:val="Normal"/>
        <w:rPr/>
      </w:pPr>
      <w:r>
        <w:rPr>
          <w:sz w:val="22"/>
        </w:rPr>
        <w:t>Q1: Design finalization &amp; supplier contracts</w:t>
      </w:r>
    </w:p>
    <w:p>
      <w:pPr>
        <w:pStyle w:val="Normal"/>
        <w:rPr/>
      </w:pPr>
      <w:r>
        <w:rPr>
          <w:sz w:val="22"/>
        </w:rPr>
        <w:t>Q2: Prototype testing &amp; initial production setup</w:t>
      </w:r>
    </w:p>
    <w:p>
      <w:pPr>
        <w:pStyle w:val="Normal"/>
        <w:rPr/>
      </w:pPr>
      <w:r>
        <w:rPr>
          <w:sz w:val="22"/>
        </w:rPr>
        <w:t>Q3: Beta testing &amp; customer feedback collection</w:t>
      </w:r>
    </w:p>
    <w:p>
      <w:pPr>
        <w:pStyle w:val="Normal"/>
        <w:rPr/>
      </w:pPr>
      <w:r>
        <w:rPr>
          <w:sz w:val="22"/>
        </w:rPr>
        <w:t>Q4: Full launch and marketing rollout</w:t>
      </w:r>
    </w:p>
    <w:p>
      <w:pPr>
        <w:pStyle w:val="Normal"/>
        <w:rPr/>
      </w:pPr>
      <w:r>
        <w:rPr>
          <w:sz w:val="22"/>
        </w:rPr>
        <w:t>Key milestones: Prototype completion by end of Q2, beta testing completed by end of Q3, market launch in Q4.</w:t>
      </w:r>
    </w:p>
    <w:p>
      <w:pPr>
        <w:pStyle w:val="Heading1"/>
        <w:rPr/>
      </w:pPr>
      <w:r>
        <w:rPr/>
        <w:t>Competitive Landscape</w:t>
      </w:r>
    </w:p>
    <w:p>
      <w:pPr>
        <w:pStyle w:val="Normal"/>
        <w:rPr/>
      </w:pPr>
      <w:r>
        <w:rPr>
          <w:sz w:val="22"/>
        </w:rPr>
        <w:t>Top Competitors: General Electric, Rheem, Bosch, SunPad</w:t>
      </w:r>
    </w:p>
    <w:p>
      <w:pPr>
        <w:pStyle w:val="Normal"/>
        <w:rPr/>
      </w:pPr>
      <w:r>
        <w:rPr>
          <w:sz w:val="22"/>
        </w:rPr>
        <w:t>Advantages: Established brand presence, extensive distribution networks, existing customer base</w:t>
      </w:r>
    </w:p>
    <w:p>
      <w:pPr>
        <w:pStyle w:val="Normal"/>
        <w:rPr/>
      </w:pPr>
      <w:r>
        <w:rPr>
          <w:sz w:val="22"/>
        </w:rPr>
        <w:t>Disadvantages: Higher price points, complex installation, less innovative technology</w:t>
      </w:r>
    </w:p>
    <w:p>
      <w:pPr>
        <w:pStyle w:val="Normal"/>
        <w:rPr/>
      </w:pPr>
      <w:r>
        <w:rPr>
          <w:sz w:val="22"/>
        </w:rPr>
        <w:t>Additional Details: Competitors focus on conventional solar heating technologies with limited smart integration. Pricing strategies are premium, targeting high-end customers. Market positioning emphasizes reliability over innovation.</w:t>
      </w:r>
    </w:p>
    <w:p>
      <w:pPr>
        <w:pStyle w:val="Heading1"/>
        <w:rPr/>
      </w:pPr>
      <w:r>
        <w:rPr/>
        <w:t>Strategic Approach</w:t>
      </w:r>
    </w:p>
    <w:p>
      <w:pPr>
        <w:pStyle w:val="Normal"/>
        <w:rPr/>
      </w:pPr>
      <w:r>
        <w:rPr>
          <w:sz w:val="22"/>
        </w:rPr>
        <w:t>Differentiate based on innovative solar panel tech, ease of installation, aesthetic design, and cost savings. Price competitively but focus on features and efficiency advantages.</w:t>
      </w:r>
    </w:p>
    <w:p>
      <w:pPr>
        <w:pStyle w:val="Heading1"/>
        <w:rPr/>
      </w:pPr>
      <w:r>
        <w:rPr/>
        <w:t>Main Features and Functionality</w:t>
      </w:r>
    </w:p>
    <w:p>
      <w:pPr>
        <w:pStyle w:val="Normal"/>
        <w:rPr/>
      </w:pPr>
      <w:r>
        <w:rPr>
          <w:sz w:val="22"/>
        </w:rPr>
        <w:t>MVP Features:</w:t>
      </w:r>
    </w:p>
    <w:p>
      <w:pPr>
        <w:pStyle w:val="Normal"/>
        <w:rPr/>
      </w:pPr>
      <w:r>
        <w:rPr>
          <w:sz w:val="22"/>
        </w:rPr>
        <w:t>- Evacuated tube and flat plate collector options</w:t>
      </w:r>
    </w:p>
    <w:p>
      <w:pPr>
        <w:pStyle w:val="Normal"/>
        <w:rPr/>
      </w:pPr>
      <w:r>
        <w:rPr>
          <w:sz w:val="22"/>
        </w:rPr>
        <w:t>- Water storage solutions: tankless, conventional tank, instant heater</w:t>
      </w:r>
    </w:p>
    <w:p>
      <w:pPr>
        <w:pStyle w:val="Normal"/>
        <w:rPr/>
      </w:pPr>
      <w:r>
        <w:rPr>
          <w:sz w:val="22"/>
        </w:rPr>
        <w:t>- Integrated app for monitoring and control (real-time efficiency, fault detection)</w:t>
      </w:r>
    </w:p>
    <w:p>
      <w:pPr>
        <w:pStyle w:val="Normal"/>
        <w:rPr/>
      </w:pPr>
      <w:r>
        <w:rPr>
          <w:sz w:val="22"/>
        </w:rPr>
        <w:t>- Wireless console for system management</w:t>
      </w:r>
    </w:p>
    <w:p>
      <w:pPr>
        <w:pStyle w:val="Normal"/>
        <w:rPr/>
      </w:pPr>
      <w:r>
        <w:rPr>
          <w:sz w:val="22"/>
        </w:rPr>
        <w:t>Technical Specs:</w:t>
      </w:r>
    </w:p>
    <w:p>
      <w:pPr>
        <w:pStyle w:val="Normal"/>
        <w:rPr/>
      </w:pPr>
      <w:r>
        <w:rPr>
          <w:sz w:val="22"/>
        </w:rPr>
        <w:t>- Solar collector efficiency: 25% higher than current models</w:t>
      </w:r>
    </w:p>
    <w:p>
      <w:pPr>
        <w:pStyle w:val="Normal"/>
        <w:rPr/>
      </w:pPr>
      <w:r>
        <w:rPr>
          <w:sz w:val="22"/>
        </w:rPr>
        <w:t>- Storage capacity options: 150L, 300L, 500L</w:t>
      </w:r>
    </w:p>
    <w:p>
      <w:pPr>
        <w:pStyle w:val="Normal"/>
        <w:rPr/>
      </w:pPr>
      <w:r>
        <w:rPr>
          <w:sz w:val="22"/>
        </w:rPr>
        <w:t>- Compatibility with smart home systems</w:t>
      </w:r>
    </w:p>
    <w:p>
      <w:pPr>
        <w:pStyle w:val="Normal"/>
        <w:rPr/>
      </w:pPr>
      <w:r>
        <w:rPr>
          <w:sz w:val="22"/>
        </w:rPr>
        <w:t>Feature Schedule:</w:t>
      </w:r>
    </w:p>
    <w:p>
      <w:pPr>
        <w:pStyle w:val="Normal"/>
        <w:rPr/>
      </w:pPr>
      <w:r>
        <w:rPr>
          <w:sz w:val="22"/>
        </w:rPr>
        <w:t>- Q1-Q2: Develop core features, finalize supplier contracts</w:t>
      </w:r>
    </w:p>
    <w:p>
      <w:pPr>
        <w:pStyle w:val="Normal"/>
        <w:rPr/>
      </w:pPr>
      <w:r>
        <w:rPr>
          <w:sz w:val="22"/>
        </w:rPr>
        <w:t>- Q3: Integrate app and console functionality, beta testing</w:t>
      </w:r>
    </w:p>
    <w:p>
      <w:pPr>
        <w:pStyle w:val="Normal"/>
        <w:rPr/>
      </w:pPr>
      <w:r>
        <w:rPr>
          <w:sz w:val="22"/>
        </w:rPr>
        <w:t>- Q4: Launch and full deployment</w:t>
      </w:r>
    </w:p>
    <w:p>
      <w:pPr>
        <w:pStyle w:val="Heading1"/>
        <w:rPr/>
      </w:pPr>
      <w:r>
        <w:rPr/>
        <w:t>Key Differentiators</w:t>
      </w:r>
    </w:p>
    <w:p>
      <w:pPr>
        <w:pStyle w:val="Normal"/>
        <w:rPr/>
      </w:pPr>
      <w:r>
        <w:rPr>
          <w:sz w:val="22"/>
        </w:rPr>
        <w:t>- Cutting-edge high-efficiency solar panels, including bifacial and transparent options</w:t>
      </w:r>
    </w:p>
    <w:p>
      <w:pPr>
        <w:pStyle w:val="Normal"/>
        <w:rPr/>
      </w:pPr>
      <w:r>
        <w:rPr>
          <w:sz w:val="22"/>
        </w:rPr>
        <w:t>- User-friendly installation and management system, reducing setup time by 50%</w:t>
      </w:r>
    </w:p>
    <w:p>
      <w:pPr>
        <w:pStyle w:val="Normal"/>
        <w:rPr/>
      </w:pPr>
      <w:r>
        <w:rPr>
          <w:sz w:val="22"/>
        </w:rPr>
        <w:t>- Cost savings of at least 10% over competitors</w:t>
      </w:r>
    </w:p>
    <w:p>
      <w:pPr>
        <w:pStyle w:val="Normal"/>
        <w:rPr/>
      </w:pPr>
      <w:r>
        <w:rPr>
          <w:sz w:val="22"/>
        </w:rPr>
        <w:t>- Virtually maintenance-free with fewer components</w:t>
      </w:r>
    </w:p>
    <w:p>
      <w:pPr>
        <w:pStyle w:val="Normal"/>
        <w:rPr/>
      </w:pPr>
      <w:r>
        <w:rPr>
          <w:sz w:val="22"/>
        </w:rPr>
        <w:t>- Environmental impact: reduces CO₂ emissions equivalent to planting 100 trees annually</w:t>
      </w:r>
    </w:p>
    <w:p>
      <w:pPr>
        <w:pStyle w:val="Normal"/>
        <w:rPr/>
      </w:pPr>
      <w:r>
        <w:rPr>
          <w:sz w:val="22"/>
        </w:rPr>
        <w:t>Additional Details: Advanced technology ensures long-term durability, superior performance in diverse climates, and integration with renewable energy incentives programs.</w:t>
      </w:r>
    </w:p>
    <w:p>
      <w:pPr>
        <w:pStyle w:val="Heading1"/>
        <w:rPr/>
      </w:pPr>
      <w:r>
        <w:rPr/>
        <w:t>Mitigation Plans for Weaknesses</w:t>
      </w:r>
    </w:p>
    <w:p>
      <w:pPr>
        <w:pStyle w:val="Normal"/>
        <w:rPr/>
      </w:pPr>
      <w:r>
        <w:rPr>
          <w:sz w:val="22"/>
        </w:rPr>
        <w:t>- Strategic partnerships with key suppliers to avoid supply chain disruptions</w:t>
      </w:r>
    </w:p>
    <w:p>
      <w:pPr>
        <w:pStyle w:val="Normal"/>
        <w:rPr/>
      </w:pPr>
      <w:r>
        <w:rPr>
          <w:sz w:val="22"/>
        </w:rPr>
        <w:t>- Extensive customer education and support to ensure adoption</w:t>
      </w:r>
    </w:p>
    <w:p>
      <w:pPr>
        <w:pStyle w:val="Normal"/>
        <w:rPr/>
      </w:pPr>
      <w:r>
        <w:rPr>
          <w:sz w:val="22"/>
        </w:rPr>
        <w:t>- Agile development to incorporate user feedback and reduce delays</w:t>
      </w:r>
    </w:p>
    <w:p>
      <w:pPr>
        <w:pStyle w:val="Heading1"/>
        <w:rPr/>
      </w:pPr>
      <w:r>
        <w:rPr/>
        <w:t>Go-to-market Logistics</w:t>
      </w:r>
    </w:p>
    <w:p>
      <w:pPr>
        <w:pStyle w:val="Normal"/>
        <w:rPr/>
      </w:pPr>
      <w:r>
        <w:rPr>
          <w:sz w:val="22"/>
        </w:rPr>
        <w:t>Distribution channels: Online (Amazon, company website), retail partners (Home Depot, Lowe’s, Walmart, Costco)</w:t>
      </w:r>
    </w:p>
    <w:p>
      <w:pPr>
        <w:pStyle w:val="Normal"/>
        <w:rPr/>
      </w:pPr>
      <w:r>
        <w:rPr>
          <w:sz w:val="22"/>
        </w:rPr>
        <w:t>Delivery options: Direct shipping from warehouses, installation via certified partners</w:t>
      </w:r>
    </w:p>
    <w:p>
      <w:pPr>
        <w:pStyle w:val="Normal"/>
        <w:rPr/>
      </w:pPr>
      <w:r>
        <w:rPr>
          <w:sz w:val="22"/>
        </w:rPr>
        <w:t>Logistics considerations: Inventory management, installation scheduling, customer support infrastructure</w:t>
      </w:r>
    </w:p>
    <w:p>
      <w:pPr>
        <w:pStyle w:val="Heading1"/>
        <w:rPr/>
      </w:pPr>
      <w:r>
        <w:rPr/>
        <w:t>Business Success Measures</w:t>
      </w:r>
    </w:p>
    <w:p>
      <w:pPr>
        <w:pStyle w:val="Normal"/>
        <w:rPr/>
      </w:pPr>
      <w:r>
        <w:rPr>
          <w:sz w:val="22"/>
        </w:rPr>
        <w:t>KPIs:</w:t>
      </w:r>
    </w:p>
    <w:p>
      <w:pPr>
        <w:pStyle w:val="Normal"/>
        <w:rPr/>
      </w:pPr>
      <w:r>
        <w:rPr>
          <w:sz w:val="22"/>
        </w:rPr>
        <w:t>- Market share growth by 20% in 12 months</w:t>
      </w:r>
    </w:p>
    <w:p>
      <w:pPr>
        <w:pStyle w:val="Normal"/>
        <w:rPr/>
      </w:pPr>
      <w:r>
        <w:rPr>
          <w:sz w:val="22"/>
        </w:rPr>
        <w:t>- Customer satisfaction rating &gt;4.5/5</w:t>
      </w:r>
    </w:p>
    <w:p>
      <w:pPr>
        <w:pStyle w:val="Normal"/>
        <w:rPr/>
      </w:pPr>
      <w:r>
        <w:rPr>
          <w:sz w:val="22"/>
        </w:rPr>
        <w:t>- System installation lead time reduced by 50%</w:t>
      </w:r>
    </w:p>
    <w:p>
      <w:pPr>
        <w:pStyle w:val="Normal"/>
        <w:rPr/>
      </w:pPr>
      <w:r>
        <w:rPr>
          <w:sz w:val="22"/>
        </w:rPr>
        <w:t>- Monthly recurring revenue from service/support &gt;USD 500,000</w:t>
      </w:r>
    </w:p>
    <w:p>
      <w:pPr>
        <w:pStyle w:val="Normal"/>
        <w:rPr/>
      </w:pPr>
      <w:r>
        <w:rPr>
          <w:sz w:val="22"/>
        </w:rPr>
        <w:t>- App download and active user metrics</w:t>
      </w:r>
    </w:p>
    <w:p>
      <w:pPr>
        <w:pStyle w:val="Normal"/>
        <w:rPr/>
      </w:pPr>
      <w:r>
        <w:rPr>
          <w:sz w:val="22"/>
        </w:rPr>
        <w:t>Measurement Plans: Customer surveys, app analytics, sales data, installation timelines, and feedback from customer support.</w:t>
      </w:r>
    </w:p>
    <w:p>
      <w:pPr>
        <w:pStyle w:val="Heading1"/>
        <w:rPr/>
      </w:pPr>
      <w:r>
        <w:rPr/>
        <w:t>Comparison Table: Solar-R-Us vs Competitors</w:t>
      </w:r>
    </w:p>
    <w:tbl>
      <w:tblPr>
        <w:tblStyle w:val="TableGrid"/>
        <w:tblW w:w="8640" w:type="dxa"/>
        <w:jc w:val="left"/>
        <w:tblInd w:w="0" w:type="dxa"/>
        <w:tblCellMar>
          <w:top w:w="0" w:type="dxa"/>
          <w:left w:w="108" w:type="dxa"/>
          <w:bottom w:w="0" w:type="dxa"/>
          <w:right w:w="108" w:type="dxa"/>
        </w:tblCellMar>
        <w:tblLook w:firstRow="1" w:noVBand="1" w:lastRow="0" w:firstColumn="1" w:lastColumn="0" w:noHBand="0" w:val="04a0"/>
      </w:tblPr>
      <w:tblGrid>
        <w:gridCol w:w="1439"/>
        <w:gridCol w:w="1440"/>
        <w:gridCol w:w="1440"/>
        <w:gridCol w:w="1438"/>
        <w:gridCol w:w="1440"/>
        <w:gridCol w:w="1442"/>
      </w:tblGrid>
      <w:tr>
        <w:trPr/>
        <w:tc>
          <w:tcPr>
            <w:tcW w:w="1439" w:type="dxa"/>
            <w:tcBorders/>
            <w:shd w:fill="auto" w:val="clear"/>
          </w:tcPr>
          <w:p>
            <w:pPr>
              <w:pStyle w:val="Normal"/>
              <w:spacing w:lineRule="auto" w:line="240" w:before="0" w:after="0"/>
              <w:rPr/>
            </w:pPr>
            <w:r>
              <w:rPr/>
              <w:t>Feature</w:t>
            </w:r>
          </w:p>
        </w:tc>
        <w:tc>
          <w:tcPr>
            <w:tcW w:w="1440" w:type="dxa"/>
            <w:tcBorders/>
            <w:shd w:fill="auto" w:val="clear"/>
          </w:tcPr>
          <w:p>
            <w:pPr>
              <w:pStyle w:val="Normal"/>
              <w:spacing w:lineRule="auto" w:line="240" w:before="0" w:after="0"/>
              <w:rPr/>
            </w:pPr>
            <w:r>
              <w:rPr/>
              <w:t>Solar-R-Us</w:t>
            </w:r>
          </w:p>
        </w:tc>
        <w:tc>
          <w:tcPr>
            <w:tcW w:w="1440" w:type="dxa"/>
            <w:tcBorders/>
            <w:shd w:fill="auto" w:val="clear"/>
          </w:tcPr>
          <w:p>
            <w:pPr>
              <w:pStyle w:val="Normal"/>
              <w:spacing w:lineRule="auto" w:line="240" w:before="0" w:after="0"/>
              <w:rPr/>
            </w:pPr>
            <w:r>
              <w:rPr/>
              <w:t>General Electric</w:t>
            </w:r>
          </w:p>
        </w:tc>
        <w:tc>
          <w:tcPr>
            <w:tcW w:w="1438" w:type="dxa"/>
            <w:tcBorders/>
            <w:shd w:fill="auto" w:val="clear"/>
          </w:tcPr>
          <w:p>
            <w:pPr>
              <w:pStyle w:val="Normal"/>
              <w:spacing w:lineRule="auto" w:line="240" w:before="0" w:after="0"/>
              <w:rPr/>
            </w:pPr>
            <w:r>
              <w:rPr/>
              <w:t>Rheem</w:t>
            </w:r>
          </w:p>
        </w:tc>
        <w:tc>
          <w:tcPr>
            <w:tcW w:w="1440" w:type="dxa"/>
            <w:tcBorders/>
            <w:shd w:fill="auto" w:val="clear"/>
          </w:tcPr>
          <w:p>
            <w:pPr>
              <w:pStyle w:val="Normal"/>
              <w:spacing w:lineRule="auto" w:line="240" w:before="0" w:after="0"/>
              <w:rPr/>
            </w:pPr>
            <w:r>
              <w:rPr/>
              <w:t>Bosch</w:t>
            </w:r>
          </w:p>
        </w:tc>
        <w:tc>
          <w:tcPr>
            <w:tcW w:w="1442" w:type="dxa"/>
            <w:tcBorders/>
            <w:shd w:fill="auto" w:val="clear"/>
          </w:tcPr>
          <w:p>
            <w:pPr>
              <w:pStyle w:val="Normal"/>
              <w:spacing w:lineRule="auto" w:line="240" w:before="0" w:after="0"/>
              <w:rPr/>
            </w:pPr>
            <w:r>
              <w:rPr/>
              <w:t>SunPad</w:t>
            </w:r>
          </w:p>
        </w:tc>
      </w:tr>
      <w:tr>
        <w:trPr/>
        <w:tc>
          <w:tcPr>
            <w:tcW w:w="1439" w:type="dxa"/>
            <w:tcBorders/>
            <w:shd w:fill="auto" w:val="clear"/>
          </w:tcPr>
          <w:p>
            <w:pPr>
              <w:pStyle w:val="Normal"/>
              <w:spacing w:lineRule="auto" w:line="240" w:before="0" w:after="0"/>
              <w:rPr/>
            </w:pPr>
            <w:r>
              <w:rPr/>
              <w:t>Pricing</w:t>
            </w:r>
          </w:p>
        </w:tc>
        <w:tc>
          <w:tcPr>
            <w:tcW w:w="1440" w:type="dxa"/>
            <w:tcBorders/>
            <w:shd w:fill="auto" w:val="clear"/>
          </w:tcPr>
          <w:p>
            <w:pPr>
              <w:pStyle w:val="Normal"/>
              <w:spacing w:lineRule="auto" w:line="240" w:before="0" w:after="0"/>
              <w:rPr/>
            </w:pPr>
            <w:r>
              <w:rPr/>
              <w:t>Competitive</w:t>
            </w:r>
          </w:p>
        </w:tc>
        <w:tc>
          <w:tcPr>
            <w:tcW w:w="1440" w:type="dxa"/>
            <w:tcBorders/>
            <w:shd w:fill="auto" w:val="clear"/>
          </w:tcPr>
          <w:p>
            <w:pPr>
              <w:pStyle w:val="Normal"/>
              <w:spacing w:lineRule="auto" w:line="240" w:before="0" w:after="0"/>
              <w:rPr/>
            </w:pPr>
            <w:r>
              <w:rPr/>
              <w:t>High</w:t>
            </w:r>
          </w:p>
        </w:tc>
        <w:tc>
          <w:tcPr>
            <w:tcW w:w="1438" w:type="dxa"/>
            <w:tcBorders/>
            <w:shd w:fill="auto" w:val="clear"/>
          </w:tcPr>
          <w:p>
            <w:pPr>
              <w:pStyle w:val="Normal"/>
              <w:spacing w:lineRule="auto" w:line="240" w:before="0" w:after="0"/>
              <w:rPr/>
            </w:pPr>
            <w:r>
              <w:rPr/>
              <w:t>High</w:t>
            </w:r>
          </w:p>
        </w:tc>
        <w:tc>
          <w:tcPr>
            <w:tcW w:w="1440" w:type="dxa"/>
            <w:tcBorders/>
            <w:shd w:fill="auto" w:val="clear"/>
          </w:tcPr>
          <w:p>
            <w:pPr>
              <w:pStyle w:val="Normal"/>
              <w:spacing w:lineRule="auto" w:line="240" w:before="0" w:after="0"/>
              <w:rPr/>
            </w:pPr>
            <w:r>
              <w:rPr/>
              <w:t>High</w:t>
            </w:r>
          </w:p>
        </w:tc>
        <w:tc>
          <w:tcPr>
            <w:tcW w:w="1442" w:type="dxa"/>
            <w:tcBorders/>
            <w:shd w:fill="auto" w:val="clear"/>
          </w:tcPr>
          <w:p>
            <w:pPr>
              <w:pStyle w:val="Normal"/>
              <w:spacing w:lineRule="auto" w:line="240" w:before="0" w:after="0"/>
              <w:rPr/>
            </w:pPr>
            <w:r>
              <w:rPr/>
              <w:t>Moderate</w:t>
            </w:r>
          </w:p>
        </w:tc>
      </w:tr>
      <w:tr>
        <w:trPr/>
        <w:tc>
          <w:tcPr>
            <w:tcW w:w="1439" w:type="dxa"/>
            <w:tcBorders/>
            <w:shd w:fill="auto" w:val="clear"/>
          </w:tcPr>
          <w:p>
            <w:pPr>
              <w:pStyle w:val="Normal"/>
              <w:spacing w:lineRule="auto" w:line="240" w:before="0" w:after="0"/>
              <w:rPr/>
            </w:pPr>
            <w:r>
              <w:rPr/>
              <w:t>Technology</w:t>
            </w:r>
          </w:p>
        </w:tc>
        <w:tc>
          <w:tcPr>
            <w:tcW w:w="1440" w:type="dxa"/>
            <w:tcBorders/>
            <w:shd w:fill="auto" w:val="clear"/>
          </w:tcPr>
          <w:p>
            <w:pPr>
              <w:pStyle w:val="Normal"/>
              <w:spacing w:lineRule="auto" w:line="240" w:before="0" w:after="0"/>
              <w:rPr/>
            </w:pPr>
            <w:r>
              <w:rPr/>
              <w:t>Advanced solar panels, smart integration</w:t>
            </w:r>
          </w:p>
        </w:tc>
        <w:tc>
          <w:tcPr>
            <w:tcW w:w="1440" w:type="dxa"/>
            <w:tcBorders/>
            <w:shd w:fill="auto" w:val="clear"/>
          </w:tcPr>
          <w:p>
            <w:pPr>
              <w:pStyle w:val="Normal"/>
              <w:spacing w:lineRule="auto" w:line="240" w:before="0" w:after="0"/>
              <w:rPr/>
            </w:pPr>
            <w:r>
              <w:rPr/>
              <w:t>Conventional solar tech</w:t>
            </w:r>
          </w:p>
        </w:tc>
        <w:tc>
          <w:tcPr>
            <w:tcW w:w="1438" w:type="dxa"/>
            <w:tcBorders/>
            <w:shd w:fill="auto" w:val="clear"/>
          </w:tcPr>
          <w:p>
            <w:pPr>
              <w:pStyle w:val="Normal"/>
              <w:spacing w:lineRule="auto" w:line="240" w:before="0" w:after="0"/>
              <w:rPr/>
            </w:pPr>
            <w:r>
              <w:rPr/>
              <w:t>Conventional solar tech</w:t>
            </w:r>
          </w:p>
        </w:tc>
        <w:tc>
          <w:tcPr>
            <w:tcW w:w="1440" w:type="dxa"/>
            <w:tcBorders/>
            <w:shd w:fill="auto" w:val="clear"/>
          </w:tcPr>
          <w:p>
            <w:pPr>
              <w:pStyle w:val="Normal"/>
              <w:spacing w:lineRule="auto" w:line="240" w:before="0" w:after="0"/>
              <w:rPr/>
            </w:pPr>
            <w:r>
              <w:rPr/>
              <w:t>Conventional solar tech</w:t>
            </w:r>
          </w:p>
        </w:tc>
        <w:tc>
          <w:tcPr>
            <w:tcW w:w="1442" w:type="dxa"/>
            <w:tcBorders/>
            <w:shd w:fill="auto" w:val="clear"/>
          </w:tcPr>
          <w:p>
            <w:pPr>
              <w:pStyle w:val="Normal"/>
              <w:spacing w:lineRule="auto" w:line="240" w:before="0" w:after="0"/>
              <w:rPr/>
            </w:pPr>
            <w:r>
              <w:rPr/>
              <w:t>Basic solar tech</w:t>
            </w:r>
          </w:p>
        </w:tc>
      </w:tr>
      <w:tr>
        <w:trPr/>
        <w:tc>
          <w:tcPr>
            <w:tcW w:w="1439" w:type="dxa"/>
            <w:tcBorders/>
            <w:shd w:fill="auto" w:val="clear"/>
          </w:tcPr>
          <w:p>
            <w:pPr>
              <w:pStyle w:val="Normal"/>
              <w:spacing w:lineRule="auto" w:line="240" w:before="0" w:after="0"/>
              <w:rPr/>
            </w:pPr>
            <w:r>
              <w:rPr/>
              <w:t>Installation Ease</w:t>
            </w:r>
          </w:p>
        </w:tc>
        <w:tc>
          <w:tcPr>
            <w:tcW w:w="1440" w:type="dxa"/>
            <w:tcBorders/>
            <w:shd w:fill="auto" w:val="clear"/>
          </w:tcPr>
          <w:p>
            <w:pPr>
              <w:pStyle w:val="Normal"/>
              <w:spacing w:lineRule="auto" w:line="240" w:before="0" w:after="0"/>
              <w:rPr/>
            </w:pPr>
            <w:r>
              <w:rPr/>
              <w:t>User-friendly, 50% faster</w:t>
            </w:r>
          </w:p>
        </w:tc>
        <w:tc>
          <w:tcPr>
            <w:tcW w:w="1440" w:type="dxa"/>
            <w:tcBorders/>
            <w:shd w:fill="auto" w:val="clear"/>
          </w:tcPr>
          <w:p>
            <w:pPr>
              <w:pStyle w:val="Normal"/>
              <w:spacing w:lineRule="auto" w:line="240" w:before="0" w:after="0"/>
              <w:rPr/>
            </w:pPr>
            <w:r>
              <w:rPr/>
              <w:t>Complex</w:t>
            </w:r>
          </w:p>
        </w:tc>
        <w:tc>
          <w:tcPr>
            <w:tcW w:w="1438" w:type="dxa"/>
            <w:tcBorders/>
            <w:shd w:fill="auto" w:val="clear"/>
          </w:tcPr>
          <w:p>
            <w:pPr>
              <w:pStyle w:val="Normal"/>
              <w:spacing w:lineRule="auto" w:line="240" w:before="0" w:after="0"/>
              <w:rPr/>
            </w:pPr>
            <w:r>
              <w:rPr/>
              <w:t>Complex</w:t>
            </w:r>
          </w:p>
        </w:tc>
        <w:tc>
          <w:tcPr>
            <w:tcW w:w="1440" w:type="dxa"/>
            <w:tcBorders/>
            <w:shd w:fill="auto" w:val="clear"/>
          </w:tcPr>
          <w:p>
            <w:pPr>
              <w:pStyle w:val="Normal"/>
              <w:spacing w:lineRule="auto" w:line="240" w:before="0" w:after="0"/>
              <w:rPr/>
            </w:pPr>
            <w:r>
              <w:rPr/>
              <w:t>Moderate</w:t>
            </w:r>
          </w:p>
        </w:tc>
        <w:tc>
          <w:tcPr>
            <w:tcW w:w="1442" w:type="dxa"/>
            <w:tcBorders/>
            <w:shd w:fill="auto" w:val="clear"/>
          </w:tcPr>
          <w:p>
            <w:pPr>
              <w:pStyle w:val="Normal"/>
              <w:spacing w:lineRule="auto" w:line="240" w:before="0" w:after="0"/>
              <w:rPr/>
            </w:pPr>
            <w:r>
              <w:rPr/>
              <w:t>Moderate</w:t>
            </w:r>
          </w:p>
        </w:tc>
      </w:tr>
      <w:tr>
        <w:trPr/>
        <w:tc>
          <w:tcPr>
            <w:tcW w:w="1439" w:type="dxa"/>
            <w:tcBorders/>
            <w:shd w:fill="auto" w:val="clear"/>
          </w:tcPr>
          <w:p>
            <w:pPr>
              <w:pStyle w:val="Normal"/>
              <w:spacing w:lineRule="auto" w:line="240" w:before="0" w:after="0"/>
              <w:rPr/>
            </w:pPr>
            <w:r>
              <w:rPr/>
              <w:t>Smart Features</w:t>
            </w:r>
          </w:p>
        </w:tc>
        <w:tc>
          <w:tcPr>
            <w:tcW w:w="1440" w:type="dxa"/>
            <w:tcBorders/>
            <w:shd w:fill="auto" w:val="clear"/>
          </w:tcPr>
          <w:p>
            <w:pPr>
              <w:pStyle w:val="Normal"/>
              <w:spacing w:lineRule="auto" w:line="240" w:before="0" w:after="0"/>
              <w:rPr/>
            </w:pPr>
            <w:r>
              <w:rPr/>
              <w:t>Integrated app &amp; wireless console</w:t>
            </w:r>
          </w:p>
        </w:tc>
        <w:tc>
          <w:tcPr>
            <w:tcW w:w="1440" w:type="dxa"/>
            <w:tcBorders/>
            <w:shd w:fill="auto" w:val="clear"/>
          </w:tcPr>
          <w:p>
            <w:pPr>
              <w:pStyle w:val="Normal"/>
              <w:spacing w:lineRule="auto" w:line="240" w:before="0" w:after="0"/>
              <w:rPr/>
            </w:pPr>
            <w:r>
              <w:rPr/>
              <w:t>Limited</w:t>
            </w:r>
          </w:p>
        </w:tc>
        <w:tc>
          <w:tcPr>
            <w:tcW w:w="1438" w:type="dxa"/>
            <w:tcBorders/>
            <w:shd w:fill="auto" w:val="clear"/>
          </w:tcPr>
          <w:p>
            <w:pPr>
              <w:pStyle w:val="Normal"/>
              <w:spacing w:lineRule="auto" w:line="240" w:before="0" w:after="0"/>
              <w:rPr/>
            </w:pPr>
            <w:r>
              <w:rPr/>
              <w:t>Limited</w:t>
            </w:r>
          </w:p>
        </w:tc>
        <w:tc>
          <w:tcPr>
            <w:tcW w:w="1440" w:type="dxa"/>
            <w:tcBorders/>
            <w:shd w:fill="auto" w:val="clear"/>
          </w:tcPr>
          <w:p>
            <w:pPr>
              <w:pStyle w:val="Normal"/>
              <w:spacing w:lineRule="auto" w:line="240" w:before="0" w:after="0"/>
              <w:rPr/>
            </w:pPr>
            <w:r>
              <w:rPr/>
              <w:t>Limited</w:t>
            </w:r>
          </w:p>
        </w:tc>
        <w:tc>
          <w:tcPr>
            <w:tcW w:w="1442" w:type="dxa"/>
            <w:tcBorders/>
            <w:shd w:fill="auto" w:val="clear"/>
          </w:tcPr>
          <w:p>
            <w:pPr>
              <w:pStyle w:val="Normal"/>
              <w:spacing w:lineRule="auto" w:line="240" w:before="0" w:after="0"/>
              <w:rPr/>
            </w:pPr>
            <w:r>
              <w:rPr/>
              <w:t>None</w:t>
            </w:r>
          </w:p>
        </w:tc>
      </w:tr>
      <w:tr>
        <w:trPr/>
        <w:tc>
          <w:tcPr>
            <w:tcW w:w="1439" w:type="dxa"/>
            <w:tcBorders/>
            <w:shd w:fill="auto" w:val="clear"/>
          </w:tcPr>
          <w:p>
            <w:pPr>
              <w:pStyle w:val="Normal"/>
              <w:spacing w:lineRule="auto" w:line="240" w:before="0" w:after="0"/>
              <w:rPr/>
            </w:pPr>
            <w:r>
              <w:rPr/>
              <w:t>Sustainability Impact</w:t>
            </w:r>
          </w:p>
        </w:tc>
        <w:tc>
          <w:tcPr>
            <w:tcW w:w="1440" w:type="dxa"/>
            <w:tcBorders/>
            <w:shd w:fill="auto" w:val="clear"/>
          </w:tcPr>
          <w:p>
            <w:pPr>
              <w:pStyle w:val="Normal"/>
              <w:spacing w:lineRule="auto" w:line="240" w:before="0" w:after="0"/>
              <w:rPr/>
            </w:pPr>
            <w:r>
              <w:rPr/>
              <w:t>High (CO₂ reduction equivalent to 100 trees)</w:t>
            </w:r>
          </w:p>
        </w:tc>
        <w:tc>
          <w:tcPr>
            <w:tcW w:w="1440" w:type="dxa"/>
            <w:tcBorders/>
            <w:shd w:fill="auto" w:val="clear"/>
          </w:tcPr>
          <w:p>
            <w:pPr>
              <w:pStyle w:val="Normal"/>
              <w:spacing w:lineRule="auto" w:line="240" w:before="0" w:after="0"/>
              <w:rPr/>
            </w:pPr>
            <w:r>
              <w:rPr/>
              <w:t>Moderate</w:t>
            </w:r>
          </w:p>
        </w:tc>
        <w:tc>
          <w:tcPr>
            <w:tcW w:w="1438" w:type="dxa"/>
            <w:tcBorders/>
            <w:shd w:fill="auto" w:val="clear"/>
          </w:tcPr>
          <w:p>
            <w:pPr>
              <w:pStyle w:val="Normal"/>
              <w:spacing w:lineRule="auto" w:line="240" w:before="0" w:after="0"/>
              <w:rPr/>
            </w:pPr>
            <w:r>
              <w:rPr/>
              <w:t>Moderate</w:t>
            </w:r>
          </w:p>
        </w:tc>
        <w:tc>
          <w:tcPr>
            <w:tcW w:w="1440" w:type="dxa"/>
            <w:tcBorders/>
            <w:shd w:fill="auto" w:val="clear"/>
          </w:tcPr>
          <w:p>
            <w:pPr>
              <w:pStyle w:val="Normal"/>
              <w:spacing w:lineRule="auto" w:line="240" w:before="0" w:after="0"/>
              <w:rPr/>
            </w:pPr>
            <w:r>
              <w:rPr/>
              <w:t>Moderate</w:t>
            </w:r>
          </w:p>
        </w:tc>
        <w:tc>
          <w:tcPr>
            <w:tcW w:w="1442" w:type="dxa"/>
            <w:tcBorders/>
            <w:shd w:fill="auto" w:val="clear"/>
          </w:tcPr>
          <w:p>
            <w:pPr>
              <w:pStyle w:val="Normal"/>
              <w:spacing w:lineRule="auto" w:line="240" w:before="0" w:after="0"/>
              <w:rPr/>
            </w:pPr>
            <w:r>
              <w:rPr/>
              <w:t>Low</w:t>
            </w:r>
          </w:p>
        </w:tc>
      </w:tr>
      <w:tr>
        <w:trPr/>
        <w:tc>
          <w:tcPr>
            <w:tcW w:w="1439" w:type="dxa"/>
            <w:tcBorders/>
            <w:shd w:fill="auto" w:val="clear"/>
          </w:tcPr>
          <w:p>
            <w:pPr>
              <w:pStyle w:val="Normal"/>
              <w:spacing w:lineRule="auto" w:line="240" w:before="0" w:after="0"/>
              <w:rPr/>
            </w:pPr>
            <w:r>
              <w:rPr/>
              <w:t>Customer Support</w:t>
            </w:r>
          </w:p>
        </w:tc>
        <w:tc>
          <w:tcPr>
            <w:tcW w:w="1440" w:type="dxa"/>
            <w:tcBorders/>
            <w:shd w:fill="auto" w:val="clear"/>
          </w:tcPr>
          <w:p>
            <w:pPr>
              <w:pStyle w:val="Normal"/>
              <w:spacing w:lineRule="auto" w:line="240" w:before="0" w:after="0"/>
              <w:rPr/>
            </w:pPr>
            <w:r>
              <w:rPr/>
              <w:t>Extensive education &amp; agile support</w:t>
            </w:r>
          </w:p>
        </w:tc>
        <w:tc>
          <w:tcPr>
            <w:tcW w:w="1440" w:type="dxa"/>
            <w:tcBorders/>
            <w:shd w:fill="auto" w:val="clear"/>
          </w:tcPr>
          <w:p>
            <w:pPr>
              <w:pStyle w:val="Normal"/>
              <w:spacing w:lineRule="auto" w:line="240" w:before="0" w:after="0"/>
              <w:rPr/>
            </w:pPr>
            <w:r>
              <w:rPr/>
              <w:t>Standard</w:t>
            </w:r>
          </w:p>
        </w:tc>
        <w:tc>
          <w:tcPr>
            <w:tcW w:w="1438" w:type="dxa"/>
            <w:tcBorders/>
            <w:shd w:fill="auto" w:val="clear"/>
          </w:tcPr>
          <w:p>
            <w:pPr>
              <w:pStyle w:val="Normal"/>
              <w:spacing w:lineRule="auto" w:line="240" w:before="0" w:after="0"/>
              <w:rPr/>
            </w:pPr>
            <w:r>
              <w:rPr/>
              <w:t>Standard</w:t>
            </w:r>
          </w:p>
        </w:tc>
        <w:tc>
          <w:tcPr>
            <w:tcW w:w="1440" w:type="dxa"/>
            <w:tcBorders/>
            <w:shd w:fill="auto" w:val="clear"/>
          </w:tcPr>
          <w:p>
            <w:pPr>
              <w:pStyle w:val="Normal"/>
              <w:spacing w:lineRule="auto" w:line="240" w:before="0" w:after="0"/>
              <w:rPr/>
            </w:pPr>
            <w:r>
              <w:rPr/>
              <w:t>Standard</w:t>
            </w:r>
          </w:p>
        </w:tc>
        <w:tc>
          <w:tcPr>
            <w:tcW w:w="1442" w:type="dxa"/>
            <w:tcBorders/>
            <w:shd w:fill="auto" w:val="clear"/>
          </w:tcPr>
          <w:p>
            <w:pPr>
              <w:pStyle w:val="Normal"/>
              <w:spacing w:lineRule="auto" w:line="240" w:before="0" w:after="0"/>
              <w:rPr/>
            </w:pPr>
            <w:r>
              <w:rPr/>
              <w:t>Basic</w:t>
            </w:r>
          </w:p>
        </w:tc>
      </w:tr>
    </w:tbl>
    <w:sectPr>
      <w:type w:val="nextPage"/>
      <w:pgSz w:w="12240" w:h="15840"/>
      <w:pgMar w:left="1800" w:right="180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s>
</file>

<file path=word/settings.xml><?xml version="1.0" encoding="utf-8"?>
<w:settings xmlns:w="http://schemas.openxmlformats.org/wordprocessingml/2006/main">
  <w:zoom w:percent="160"/>
  <w:defaultTabStop w:val="72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Arial" w:hAnsi="Arial" w:eastAsia="Microsoft YaHei" w:cs="Lucida Sans"/>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spacing w:before="0" w:after="200"/>
      <w:contextualSpacing/>
    </w:pPr>
    <w:rPr/>
  </w:style>
  <w:style w:type="paragraph" w:styleId="ListBullet2">
    <w:name w:val="List Bullet 2"/>
    <w:basedOn w:val="Normal"/>
    <w:uiPriority w:val="99"/>
    <w:unhideWhenUsed/>
    <w:qFormat/>
    <w:rsid w:val="00326f90"/>
    <w:pPr>
      <w:spacing w:before="0" w:after="200"/>
      <w:contextualSpacing/>
    </w:pPr>
    <w:rPr/>
  </w:style>
  <w:style w:type="paragraph" w:styleId="ListBullet3">
    <w:name w:val="List Bullet 3"/>
    <w:basedOn w:val="Normal"/>
    <w:uiPriority w:val="99"/>
    <w:unhideWhenUsed/>
    <w:qFormat/>
    <w:rsid w:val="00326f90"/>
    <w:pPr>
      <w:spacing w:before="0" w:after="200"/>
      <w:contextualSpacing/>
    </w:pPr>
    <w:rPr/>
  </w:style>
  <w:style w:type="paragraph" w:styleId="ListNumber">
    <w:name w:val="List Number"/>
    <w:basedOn w:val="Normal"/>
    <w:uiPriority w:val="99"/>
    <w:unhideWhenUsed/>
    <w:qFormat/>
    <w:rsid w:val="00326f90"/>
    <w:pPr>
      <w:spacing w:before="0" w:after="200"/>
      <w:contextualSpacing/>
    </w:pPr>
    <w:rPr/>
  </w:style>
  <w:style w:type="paragraph" w:styleId="ListNumber2">
    <w:name w:val="List Number 2"/>
    <w:basedOn w:val="Normal"/>
    <w:uiPriority w:val="99"/>
    <w:unhideWhenUsed/>
    <w:qFormat/>
    <w:rsid w:val="0029639d"/>
    <w:pPr>
      <w:spacing w:before="0" w:after="200"/>
      <w:contextualSpacing/>
    </w:pPr>
    <w:rPr/>
  </w:style>
  <w:style w:type="paragraph" w:styleId="ListNumber3">
    <w:name w:val="List Number 3"/>
    <w:basedOn w:val="Normal"/>
    <w:uiPriority w:val="99"/>
    <w:unhideWhenUsed/>
    <w:qFormat/>
    <w:rsid w:val="0029639d"/>
    <w:p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Neat_Office/6.2.8.2$Windows_x86 LibreOffice_project/</Application>
  <Pages>4</Pages>
  <Words>663</Words>
  <Characters>4353</Characters>
  <CharactersWithSpaces>4906</CharactersWithSpaces>
  <Paragraphs>108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2025-10-29T20:49:38Z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