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4"/>
          <w:szCs w:val="44"/>
        </w:rPr>
        <w:t xml:space="preserve">Markdown Parser Comparison</w:t>
      </w:r>
    </w:p>
    <w:p>
      <w:pPr>
        <w:spacing w:after="240"/>
        <w:jc w:val="center"/>
      </w:pPr>
      <w:r>
        <w:rPr>
          <w:rFonts w:ascii="Calibri" w:cs="Calibri" w:eastAsia="Calibri" w:hAnsi="Calibri"/>
          <w:i/>
          <w:iCs/>
          <w:color w:val="595959"/>
          <w:sz w:val="26"/>
          <w:szCs w:val="26"/>
        </w:rPr>
        <w:t xml:space="preserve">Adrichem et al., Brain 2022 — Landing AI vs. LlamaParse</w:t>
      </w:r>
    </w:p>
    <w:p>
      <w:pPr>
        <w:pStyle w:val="Heading2"/>
        <w:spacing w:after="120" w:before="200"/>
      </w:pPr>
      <w:r>
        <w:rPr>
          <w:rFonts w:ascii="Calibri" w:cs="Calibri" w:eastAsia="Calibri" w:hAnsi="Calibri"/>
          <w:b/>
          <w:bCs/>
          <w:color w:val="2E75B6"/>
          <w:sz w:val="28"/>
          <w:szCs w:val="28"/>
        </w:rPr>
        <w:t xml:space="preserve">Bottom line</w:t>
      </w:r>
    </w:p>
    <w:p>
      <w:pPr>
        <w:spacing w:after="120" w:line="300"/>
      </w:pPr>
      <w:r>
        <w:rPr>
          <w:rFonts w:ascii="Calibri" w:cs="Calibri" w:eastAsia="Calibri" w:hAnsi="Calibri"/>
          <w:b/>
          <w:bCs/>
          <w:sz w:val="22"/>
          <w:szCs w:val="22"/>
        </w:rPr>
        <w:t xml:space="preserve">LlamaParse (</w:t>
      </w:r>
      <w:r>
        <w:rPr>
          <w:rFonts w:ascii="Consolas" w:cs="Consolas" w:eastAsia="Consolas" w:hAnsi="Consolas"/>
          <w:b/>
          <w:bCs/>
          <w:sz w:val="20"/>
          <w:szCs w:val="20"/>
        </w:rPr>
        <w:t xml:space="preserve">1778066238215_output.md</w:t>
      </w:r>
      <w:r>
        <w:rPr>
          <w:rFonts w:ascii="Calibri" w:cs="Calibri" w:eastAsia="Calibri" w:hAnsi="Calibri"/>
          <w:b/>
          <w:bCs/>
          <w:sz w:val="22"/>
          <w:szCs w:val="22"/>
        </w:rPr>
        <w:t xml:space="preserve">) is the better visual representation of the source PDF.</w:t>
      </w:r>
    </w:p>
    <w:p>
      <w:pPr>
        <w:spacing w:after="120" w:line="300"/>
      </w:pPr>
      <w:r>
        <w:rPr>
          <w:rFonts w:ascii="Calibri" w:cs="Calibri" w:eastAsia="Calibri" w:hAnsi="Calibri"/>
          <w:sz w:val="22"/>
          <w:szCs w:val="22"/>
        </w:rPr>
        <w:t xml:space="preserve">It produces clean, idiomatic Markdown with proper heading hierarchy, semantically structured tables (&lt;thead&gt;/&lt;tbody&gt; with colspan and rowspan), correctly de-hyphenated prose, real superscripts in the author block, italicized journal names in the reference list, and tagged page furniture (&lt;page_header&gt;/&lt;page_footer&gt;) that is easy to strip. It even reconstructs the Kaplan-Meier curve in Figure 4 into a usable data table.</w:t>
      </w:r>
    </w:p>
    <w:p>
      <w:pPr>
        <w:spacing w:after="120" w:line="300"/>
      </w:pPr>
      <w:r>
        <w:rPr>
          <w:rFonts w:ascii="Calibri" w:cs="Calibri" w:eastAsia="Calibri" w:hAnsi="Calibri"/>
          <w:sz w:val="22"/>
          <w:szCs w:val="22"/>
        </w:rPr>
        <w:t xml:space="preserve">Landing AI (Adrichem_2022.md) preserves more diagnostic structure — element-type tags for logos, flowcharts, and marginalia, plus a chunk-count header — but it carries through a large number of layout artifacts: hyphenated word splits at every line break, page numbers and 'Downloaded from…' footers interleaved with body text, an opaque cell-id system in tables, OCR mis-reads of footnote markers, and Table 1 placed after the paragraphs that reference it because the parser followed the physical PDF column order.</w:t>
      </w:r>
    </w:p>
    <w:p>
      <w:pPr>
        <w:pStyle w:val="Heading1"/>
        <w:spacing w:after="160" w:before="240"/>
      </w:pPr>
      <w:r>
        <w:rPr>
          <w:rFonts w:ascii="Calibri" w:cs="Calibri" w:eastAsia="Calibri" w:hAnsi="Calibri"/>
          <w:b/>
          <w:bCs/>
          <w:color w:val="1F3864"/>
          <w:sz w:val="36"/>
          <w:szCs w:val="36"/>
        </w:rPr>
        <w:t xml:space="preserve">1. Visual inspection — what each parser actually output</w:t>
      </w:r>
    </w:p>
    <w:p>
      <w:pPr>
        <w:pStyle w:val="Heading2"/>
        <w:spacing w:after="120" w:before="200"/>
      </w:pPr>
      <w:r>
        <w:rPr>
          <w:rFonts w:ascii="Calibri" w:cs="Calibri" w:eastAsia="Calibri" w:hAnsi="Calibri"/>
          <w:b/>
          <w:bCs/>
          <w:color w:val="2E75B6"/>
          <w:sz w:val="28"/>
          <w:szCs w:val="28"/>
        </w:rPr>
        <w:t xml:space="preserve">1.1  Title and author block</w:t>
      </w:r>
    </w:p>
    <w:p>
      <w:pPr>
        <w:pStyle w:val="Heading3"/>
        <w:spacing w:after="100" w:before="160"/>
      </w:pPr>
      <w:r>
        <w:rPr>
          <w:rFonts w:ascii="Calibri" w:cs="Calibri" w:eastAsia="Calibri" w:hAnsi="Calibri"/>
          <w:b/>
          <w:bCs/>
          <w:color w:val="404040"/>
          <w:sz w:val="24"/>
          <w:szCs w:val="24"/>
        </w:rPr>
        <w:t xml:space="preserve">LlamaParse</w:t>
      </w:r>
    </w:p>
    <w:p>
      <w:pPr>
        <w:shd w:fill="F5F5F5" w:val="clear"/>
        <w:spacing w:after="60" w:line="260"/>
      </w:pPr>
      <w:r>
        <w:rPr>
          <w:rFonts w:ascii="Consolas" w:cs="Consolas" w:eastAsia="Consolas" w:hAnsi="Consolas"/>
          <w:color w:val="333333"/>
          <w:sz w:val="18"/>
          <w:szCs w:val="18"/>
        </w:rPr>
        <w:t xml:space="preserve"># Withdrawal of intravenous immunoglobulin in chronic</w:t>
      </w:r>
    </w:p>
    <w:p>
      <w:pPr>
        <w:shd w:fill="F5F5F5" w:val="clear"/>
        <w:spacing w:after="60" w:line="260"/>
      </w:pPr>
      <w:r>
        <w:rPr>
          <w:rFonts w:ascii="Consolas" w:cs="Consolas" w:eastAsia="Consolas" w:hAnsi="Consolas"/>
          <w:color w:val="333333"/>
          <w:sz w:val="18"/>
          <w:szCs w:val="18"/>
        </w:rPr>
        <w:t xml:space="preserve">  inflammatory demyelinating polyradiculoneuropathy</w:t>
      </w:r>
    </w:p>
    <w:p>
      <w:pPr>
        <w:shd w:fill="F5F5F5" w:val="clear"/>
        <w:spacing w:after="60" w:line="260"/>
      </w:pPr>
      <w:r>
        <w:rPr>
          <w:rFonts w:ascii="Consolas" w:cs="Consolas" w:eastAsia="Consolas" w:hAnsi="Consolas"/>
          <w:color w:val="333333"/>
          <w:sz w:val="18"/>
          <w:szCs w:val="18"/>
        </w:rPr>
        <w:t xml:space="preserve"/>
      </w:r>
    </w:p>
    <w:p>
      <w:pPr>
        <w:shd w:fill="F5F5F5" w:val="clear"/>
        <w:spacing w:after="60" w:line="260"/>
      </w:pPr>
      <w:r>
        <w:rPr>
          <w:rFonts w:ascii="Consolas" w:cs="Consolas" w:eastAsia="Consolas" w:hAnsi="Consolas"/>
          <w:color w:val="333333"/>
          <w:sz w:val="18"/>
          <w:szCs w:val="18"/>
        </w:rPr>
        <w:t xml:space="preserve">Max E. Adrichem,&lt;sup&gt;1,†&lt;/sup&gt; Ilse M. Lucke,&lt;sup&gt;1,†&lt;/sup&gt; ...</w:t>
      </w:r>
    </w:p>
    <w:p>
      <w:pPr>
        <w:spacing w:after="120" w:line="300"/>
      </w:pPr>
      <w:r>
        <w:rPr>
          <w:rFonts w:ascii="Calibri" w:cs="Calibri" w:eastAsia="Calibri" w:hAnsi="Calibri"/>
          <w:sz w:val="22"/>
          <w:szCs w:val="22"/>
        </w:rPr>
        <w:t xml:space="preserve">The H1 marker makes the title render as the document heading. Affiliations use HTML &lt;sup&gt;, which is the correct typographic encoding.</w:t>
      </w:r>
    </w:p>
    <w:p>
      <w:pPr>
        <w:pStyle w:val="Heading3"/>
        <w:spacing w:after="100" w:before="160"/>
      </w:pPr>
      <w:r>
        <w:rPr>
          <w:rFonts w:ascii="Calibri" w:cs="Calibri" w:eastAsia="Calibri" w:hAnsi="Calibri"/>
          <w:b/>
          <w:bCs/>
          <w:color w:val="404040"/>
          <w:sz w:val="24"/>
          <w:szCs w:val="24"/>
        </w:rPr>
        <w:t xml:space="preserve">Landing AI</w:t>
      </w:r>
    </w:p>
    <w:p>
      <w:pPr>
        <w:shd w:fill="F5F5F5" w:val="clear"/>
        <w:spacing w:after="60" w:line="260"/>
      </w:pPr>
      <w:r>
        <w:rPr>
          <w:rFonts w:ascii="Consolas" w:cs="Consolas" w:eastAsia="Consolas" w:hAnsi="Consolas"/>
          <w:color w:val="333333"/>
          <w:sz w:val="18"/>
          <w:szCs w:val="18"/>
        </w:rPr>
        <w:t xml:space="preserve">Withdrawal of intravenous immunoglobulin</w:t>
      </w:r>
    </w:p>
    <w:p>
      <w:pPr>
        <w:shd w:fill="F5F5F5" w:val="clear"/>
        <w:spacing w:after="60" w:line="260"/>
      </w:pPr>
      <w:r>
        <w:rPr>
          <w:rFonts w:ascii="Consolas" w:cs="Consolas" w:eastAsia="Consolas" w:hAnsi="Consolas"/>
          <w:color w:val="333333"/>
          <w:sz w:val="18"/>
          <w:szCs w:val="18"/>
        </w:rPr>
        <w:t xml:space="preserve">in chronic inflammatory demyelinating</w:t>
      </w:r>
    </w:p>
    <w:p>
      <w:pPr>
        <w:shd w:fill="F5F5F5" w:val="clear"/>
        <w:spacing w:after="60" w:line="260"/>
      </w:pPr>
      <w:r>
        <w:rPr>
          <w:rFonts w:ascii="Consolas" w:cs="Consolas" w:eastAsia="Consolas" w:hAnsi="Consolas"/>
          <w:color w:val="333333"/>
          <w:sz w:val="18"/>
          <w:szCs w:val="18"/>
        </w:rPr>
        <w:t xml:space="preserve">polyradiculoneuropathy</w:t>
      </w:r>
    </w:p>
    <w:p>
      <w:pPr>
        <w:shd w:fill="F5F5F5" w:val="clear"/>
        <w:spacing w:after="60" w:line="260"/>
      </w:pPr>
      <w:r>
        <w:rPr>
          <w:rFonts w:ascii="Consolas" w:cs="Consolas" w:eastAsia="Consolas" w:hAnsi="Consolas"/>
          <w:color w:val="333333"/>
          <w:sz w:val="18"/>
          <w:szCs w:val="18"/>
        </w:rPr>
        <w:t xml:space="preserve"/>
      </w:r>
    </w:p>
    <w:p>
      <w:pPr>
        <w:shd w:fill="F5F5F5" w:val="clear"/>
        <w:spacing w:after="60" w:line="260"/>
      </w:pPr>
      <w:r>
        <w:rPr>
          <w:rFonts w:ascii="Consolas" w:cs="Consolas" w:eastAsia="Consolas" w:hAnsi="Consolas"/>
          <w:color w:val="333333"/>
          <w:sz w:val="18"/>
          <w:szCs w:val="18"/>
        </w:rPr>
        <w:t xml:space="preserve">Max E. Adrichem, ¹,† (iD)Ilse M. Lucke, ¹,† ...</w:t>
      </w:r>
    </w:p>
    <w:p>
      <w:pPr>
        <w:spacing w:after="120" w:line="300"/>
      </w:pPr>
      <w:r>
        <w:rPr>
          <w:rFonts w:ascii="Calibri" w:cs="Calibri" w:eastAsia="Calibri" w:hAnsi="Calibri"/>
          <w:sz w:val="22"/>
          <w:szCs w:val="22"/>
        </w:rPr>
        <w:t xml:space="preserve">Title is plain text broken across three lines exactly as the PDF wrapped it. The ORCID icon next to Lucke is OCR'd as the literal string '(iD)'. Superscripts are Unicode glyphs, which work but are harder to style downstream.</w:t>
      </w:r>
    </w:p>
    <w:p>
      <w:pPr>
        <w:pStyle w:val="Heading2"/>
        <w:spacing w:after="120" w:before="200"/>
      </w:pPr>
      <w:r>
        <w:rPr>
          <w:rFonts w:ascii="Calibri" w:cs="Calibri" w:eastAsia="Calibri" w:hAnsi="Calibri"/>
          <w:b/>
          <w:bCs/>
          <w:color w:val="2E75B6"/>
          <w:sz w:val="28"/>
          <w:szCs w:val="28"/>
        </w:rPr>
        <w:t xml:space="preserve">1.2  Tables</w:t>
      </w:r>
    </w:p>
    <w:p>
      <w:pPr>
        <w:pStyle w:val="Heading3"/>
        <w:spacing w:after="100" w:before="160"/>
      </w:pPr>
      <w:r>
        <w:rPr>
          <w:rFonts w:ascii="Calibri" w:cs="Calibri" w:eastAsia="Calibri" w:hAnsi="Calibri"/>
          <w:b/>
          <w:bCs/>
          <w:color w:val="404040"/>
          <w:sz w:val="24"/>
          <w:szCs w:val="24"/>
        </w:rPr>
        <w:t xml:space="preserve">LlamaParse — Table 1</w:t>
      </w:r>
    </w:p>
    <w:p>
      <w:pPr>
        <w:shd w:fill="F5F5F5" w:val="clear"/>
        <w:spacing w:after="60" w:line="260"/>
      </w:pPr>
      <w:r>
        <w:rPr>
          <w:rFonts w:ascii="Consolas" w:cs="Consolas" w:eastAsia="Consolas" w:hAnsi="Consolas"/>
          <w:color w:val="333333"/>
          <w:sz w:val="18"/>
          <w:szCs w:val="18"/>
        </w:rPr>
        <w:t xml:space="preserve">&lt;table&gt;</w:t>
      </w:r>
    </w:p>
    <w:p>
      <w:pPr>
        <w:shd w:fill="F5F5F5" w:val="clear"/>
        <w:spacing w:after="60" w:line="260"/>
      </w:pPr>
      <w:r>
        <w:rPr>
          <w:rFonts w:ascii="Consolas" w:cs="Consolas" w:eastAsia="Consolas" w:hAnsi="Consolas"/>
          <w:color w:val="333333"/>
          <w:sz w:val="18"/>
          <w:szCs w:val="18"/>
        </w:rPr>
        <w:t xml:space="preserve">  &lt;thead&gt;</w:t>
      </w:r>
    </w:p>
    <w:p>
      <w:pPr>
        <w:shd w:fill="F5F5F5" w:val="clear"/>
        <w:spacing w:after="60" w:line="260"/>
      </w:pPr>
      <w:r>
        <w:rPr>
          <w:rFonts w:ascii="Consolas" w:cs="Consolas" w:eastAsia="Consolas" w:hAnsi="Consolas"/>
          <w:color w:val="333333"/>
          <w:sz w:val="18"/>
          <w:szCs w:val="18"/>
        </w:rPr>
        <w:t xml:space="preserve">    &lt;tr&gt;&lt;th&gt; &lt;/th&gt;&lt;th&gt;IVIg withdrawal group (29)&lt;/th&gt;</w:t>
      </w:r>
    </w:p>
    <w:p>
      <w:pPr>
        <w:shd w:fill="F5F5F5" w:val="clear"/>
        <w:spacing w:after="60" w:line="260"/>
      </w:pPr>
      <w:r>
        <w:rPr>
          <w:rFonts w:ascii="Consolas" w:cs="Consolas" w:eastAsia="Consolas" w:hAnsi="Consolas"/>
          <w:color w:val="333333"/>
          <w:sz w:val="18"/>
          <w:szCs w:val="18"/>
        </w:rPr>
        <w:t xml:space="preserve">                  &lt;th&gt;IVIg continuation group (31)&lt;/th&gt;&lt;/tr&gt;</w:t>
      </w:r>
    </w:p>
    <w:p>
      <w:pPr>
        <w:shd w:fill="F5F5F5" w:val="clear"/>
        <w:spacing w:after="60" w:line="260"/>
      </w:pPr>
      <w:r>
        <w:rPr>
          <w:rFonts w:ascii="Consolas" w:cs="Consolas" w:eastAsia="Consolas" w:hAnsi="Consolas"/>
          <w:color w:val="333333"/>
          <w:sz w:val="18"/>
          <w:szCs w:val="18"/>
        </w:rPr>
        <w:t xml:space="preserve">  &lt;/thead&gt;</w:t>
      </w:r>
    </w:p>
    <w:p>
      <w:pPr>
        <w:shd w:fill="F5F5F5" w:val="clear"/>
        <w:spacing w:after="60" w:line="260"/>
      </w:pPr>
      <w:r>
        <w:rPr>
          <w:rFonts w:ascii="Consolas" w:cs="Consolas" w:eastAsia="Consolas" w:hAnsi="Consolas"/>
          <w:color w:val="333333"/>
          <w:sz w:val="18"/>
          <w:szCs w:val="18"/>
        </w:rPr>
        <w:t xml:space="preserve">  &lt;tbody&gt;</w:t>
      </w:r>
    </w:p>
    <w:p>
      <w:pPr>
        <w:shd w:fill="F5F5F5" w:val="clear"/>
        <w:spacing w:after="60" w:line="260"/>
      </w:pPr>
      <w:r>
        <w:rPr>
          <w:rFonts w:ascii="Consolas" w:cs="Consolas" w:eastAsia="Consolas" w:hAnsi="Consolas"/>
          <w:color w:val="333333"/>
          <w:sz w:val="18"/>
          <w:szCs w:val="18"/>
        </w:rPr>
        <w:t xml:space="preserve">    &lt;tr&gt;&lt;td&gt;Sex, male&lt;/td&gt;&lt;td&gt;21 (72%)&lt;/td&gt;&lt;td&gt;21 (68%)&lt;/td&gt;&lt;/tr&gt;</w:t>
      </w:r>
    </w:p>
    <w:p>
      <w:pPr>
        <w:shd w:fill="F5F5F5" w:val="clear"/>
        <w:spacing w:after="60" w:line="260"/>
      </w:pPr>
      <w:r>
        <w:rPr>
          <w:rFonts w:ascii="Consolas" w:cs="Consolas" w:eastAsia="Consolas" w:hAnsi="Consolas"/>
          <w:color w:val="333333"/>
          <w:sz w:val="18"/>
          <w:szCs w:val="18"/>
        </w:rPr>
        <w:t xml:space="preserve">    ...</w:t>
      </w:r>
    </w:p>
    <w:p>
      <w:pPr>
        <w:spacing w:after="120" w:line="300"/>
      </w:pPr>
      <w:r>
        <w:rPr>
          <w:rFonts w:ascii="Calibri" w:cs="Calibri" w:eastAsia="Calibri" w:hAnsi="Calibri"/>
          <w:sz w:val="22"/>
          <w:szCs w:val="22"/>
        </w:rPr>
        <w:t xml:space="preserve">Header row is in &lt;thead&gt;. Cells are unadorned &lt;td&gt;. Renders correctly; easy to query with BeautifulSoup or pandas.</w:t>
      </w:r>
    </w:p>
    <w:p>
      <w:pPr>
        <w:pStyle w:val="Heading3"/>
        <w:spacing w:after="100" w:before="160"/>
      </w:pPr>
      <w:r>
        <w:rPr>
          <w:rFonts w:ascii="Calibri" w:cs="Calibri" w:eastAsia="Calibri" w:hAnsi="Calibri"/>
          <w:b/>
          <w:bCs/>
          <w:color w:val="404040"/>
          <w:sz w:val="24"/>
          <w:szCs w:val="24"/>
        </w:rPr>
        <w:t xml:space="preserve">Landing AI — Table 1</w:t>
      </w:r>
    </w:p>
    <w:p>
      <w:pPr>
        <w:shd w:fill="F5F5F5" w:val="clear"/>
        <w:spacing w:after="60" w:line="260"/>
      </w:pPr>
      <w:r>
        <w:rPr>
          <w:rFonts w:ascii="Consolas" w:cs="Consolas" w:eastAsia="Consolas" w:hAnsi="Consolas"/>
          <w:color w:val="333333"/>
          <w:sz w:val="18"/>
          <w:szCs w:val="18"/>
        </w:rPr>
        <w:t xml:space="preserve">&lt;table id="6-1"&gt;</w:t>
      </w:r>
    </w:p>
    <w:p>
      <w:pPr>
        <w:shd w:fill="F5F5F5" w:val="clear"/>
        <w:spacing w:after="60" w:line="260"/>
      </w:pPr>
      <w:r>
        <w:rPr>
          <w:rFonts w:ascii="Consolas" w:cs="Consolas" w:eastAsia="Consolas" w:hAnsi="Consolas"/>
          <w:color w:val="333333"/>
          <w:sz w:val="18"/>
          <w:szCs w:val="18"/>
        </w:rPr>
        <w:t xml:space="preserve">&lt;tr&gt;&lt;td id="6-2"&gt;&lt;/td&gt;</w:t>
      </w:r>
    </w:p>
    <w:p>
      <w:pPr>
        <w:shd w:fill="F5F5F5" w:val="clear"/>
        <w:spacing w:after="60" w:line="260"/>
      </w:pPr>
      <w:r>
        <w:rPr>
          <w:rFonts w:ascii="Consolas" w:cs="Consolas" w:eastAsia="Consolas" w:hAnsi="Consolas"/>
          <w:color w:val="333333"/>
          <w:sz w:val="18"/>
          <w:szCs w:val="18"/>
        </w:rPr>
        <w:t xml:space="preserve">    &lt;td id="6-3"&gt;IVIg withdrawal group (29)&lt;/td&gt;</w:t>
      </w:r>
    </w:p>
    <w:p>
      <w:pPr>
        <w:shd w:fill="F5F5F5" w:val="clear"/>
        <w:spacing w:after="60" w:line="260"/>
      </w:pPr>
      <w:r>
        <w:rPr>
          <w:rFonts w:ascii="Consolas" w:cs="Consolas" w:eastAsia="Consolas" w:hAnsi="Consolas"/>
          <w:color w:val="333333"/>
          <w:sz w:val="18"/>
          <w:szCs w:val="18"/>
        </w:rPr>
        <w:t xml:space="preserve">    &lt;td id="6-4"&gt;IVIg continuation group (31)&lt;/td&gt;&lt;/tr&gt;</w:t>
      </w:r>
    </w:p>
    <w:p>
      <w:pPr>
        <w:shd w:fill="F5F5F5" w:val="clear"/>
        <w:spacing w:after="60" w:line="260"/>
      </w:pPr>
      <w:r>
        <w:rPr>
          <w:rFonts w:ascii="Consolas" w:cs="Consolas" w:eastAsia="Consolas" w:hAnsi="Consolas"/>
          <w:color w:val="333333"/>
          <w:sz w:val="18"/>
          <w:szCs w:val="18"/>
        </w:rPr>
        <w:t xml:space="preserve">&lt;tr&gt;&lt;td id="6-5"&gt;Sex, male&lt;/td&gt;</w:t>
      </w:r>
    </w:p>
    <w:p>
      <w:pPr>
        <w:shd w:fill="F5F5F5" w:val="clear"/>
        <w:spacing w:after="60" w:line="260"/>
      </w:pPr>
      <w:r>
        <w:rPr>
          <w:rFonts w:ascii="Consolas" w:cs="Consolas" w:eastAsia="Consolas" w:hAnsi="Consolas"/>
          <w:color w:val="333333"/>
          <w:sz w:val="18"/>
          <w:szCs w:val="18"/>
        </w:rPr>
        <w:t xml:space="preserve">    &lt;td id="6-6"&gt;21 (72%)&lt;/td&gt;&lt;td id="6-7"&gt;21 (68%)&lt;/td&gt;&lt;/tr&gt;</w:t>
      </w:r>
    </w:p>
    <w:p>
      <w:pPr>
        <w:shd w:fill="F5F5F5" w:val="clear"/>
        <w:spacing w:after="60" w:line="260"/>
      </w:pPr>
      <w:r>
        <w:rPr>
          <w:rFonts w:ascii="Consolas" w:cs="Consolas" w:eastAsia="Consolas" w:hAnsi="Consolas"/>
          <w:color w:val="333333"/>
          <w:sz w:val="18"/>
          <w:szCs w:val="18"/>
        </w:rPr>
        <w:t xml:space="preserve">...</w:t>
      </w:r>
    </w:p>
    <w:p>
      <w:pPr>
        <w:spacing w:after="120" w:line="300"/>
      </w:pPr>
      <w:r>
        <w:rPr>
          <w:rFonts w:ascii="Calibri" w:cs="Calibri" w:eastAsia="Calibri" w:hAnsi="Calibri"/>
          <w:sz w:val="22"/>
          <w:szCs w:val="22"/>
        </w:rPr>
        <w:t xml:space="preserve">Every cell has a unique provenance id (useful only if you intend to map back to bounding boxes). No &lt;thead&gt;, so renderers won't bold the header row. Section headers like 'CIDP' or 'IVIg interval' appear as full rows but with no shading or styling cue.</w:t>
      </w:r>
    </w:p>
    <w:p>
      <w:pPr>
        <w:pStyle w:val="Heading2"/>
        <w:spacing w:after="120" w:before="200"/>
      </w:pPr>
      <w:r>
        <w:rPr>
          <w:rFonts w:ascii="Calibri" w:cs="Calibri" w:eastAsia="Calibri" w:hAnsi="Calibri"/>
          <w:b/>
          <w:bCs/>
          <w:color w:val="2E75B6"/>
          <w:sz w:val="28"/>
          <w:szCs w:val="28"/>
        </w:rPr>
        <w:t xml:space="preserve">1.3  Hyphenated words</w:t>
      </w:r>
    </w:p>
    <w:p>
      <w:pPr>
        <w:spacing w:after="120" w:line="300"/>
      </w:pPr>
      <w:r>
        <w:rPr>
          <w:rFonts w:ascii="Calibri" w:cs="Calibri" w:eastAsia="Calibri" w:hAnsi="Calibri"/>
          <w:sz w:val="22"/>
          <w:szCs w:val="22"/>
        </w:rPr>
        <w:t xml:space="preserve">The PDF was set in two narrow columns, so many words are split across line breaks. This is where the parsers diverge most sharply.</w:t>
      </w:r>
    </w:p>
    <w:p>
      <w:pPr>
        <w:pStyle w:val="ListParagraph"/>
        <w:numPr>
          <w:ilvl w:val="0"/>
          <w:numId w:val="2"/>
        </w:numPr>
        <w:spacing w:after="80" w:line="280"/>
      </w:pPr>
      <w:r>
        <w:rPr>
          <w:rFonts w:ascii="Calibri" w:cs="Calibri" w:eastAsia="Calibri" w:hAnsi="Calibri"/>
          <w:b/>
          <w:bCs/>
          <w:sz w:val="22"/>
          <w:szCs w:val="22"/>
        </w:rPr>
        <w:t xml:space="preserve">LlamaParse </w:t>
      </w:r>
      <w:r>
        <w:rPr>
          <w:rFonts w:ascii="Calibri" w:cs="Calibri" w:eastAsia="Calibri" w:hAnsi="Calibri"/>
          <w:sz w:val="22"/>
          <w:szCs w:val="22"/>
        </w:rPr>
        <w:t xml:space="preserve">merges them: </w:t>
      </w:r>
      <w:r>
        <w:rPr>
          <w:rFonts w:ascii="Calibri" w:cs="Calibri" w:eastAsia="Calibri" w:hAnsi="Calibri"/>
          <w:i/>
          <w:iCs/>
          <w:sz w:val="22"/>
          <w:szCs w:val="22"/>
        </w:rPr>
        <w:t xml:space="preserve">polyradiculoneuropathy, interim, withdrawal, demonstrate, dependency</w:t>
      </w:r>
      <w:r>
        <w:rPr>
          <w:rFonts w:ascii="Calibri" w:cs="Calibri" w:eastAsia="Calibri" w:hAnsi="Calibri"/>
          <w:sz w:val="22"/>
          <w:szCs w:val="22"/>
        </w:rPr>
        <w:t xml:space="preserve"> all read as single words.</w:t>
      </w:r>
    </w:p>
    <w:p>
      <w:pPr>
        <w:pStyle w:val="ListParagraph"/>
        <w:numPr>
          <w:ilvl w:val="0"/>
          <w:numId w:val="2"/>
        </w:numPr>
        <w:spacing w:after="80" w:line="280"/>
      </w:pPr>
      <w:r>
        <w:rPr>
          <w:rFonts w:ascii="Calibri" w:cs="Calibri" w:eastAsia="Calibri" w:hAnsi="Calibri"/>
          <w:b/>
          <w:bCs/>
          <w:sz w:val="22"/>
          <w:szCs w:val="22"/>
        </w:rPr>
        <w:t xml:space="preserve">Landing AI </w:t>
      </w:r>
      <w:r>
        <w:rPr>
          <w:rFonts w:ascii="Calibri" w:cs="Calibri" w:eastAsia="Calibri" w:hAnsi="Calibri"/>
          <w:sz w:val="22"/>
          <w:szCs w:val="22"/>
        </w:rPr>
        <w:t xml:space="preserve">leaves the line breaks: </w:t>
      </w:r>
      <w:r>
        <w:rPr>
          <w:rFonts w:ascii="Calibri" w:cs="Calibri" w:eastAsia="Calibri" w:hAnsi="Calibri"/>
          <w:i/>
          <w:iCs/>
          <w:sz w:val="22"/>
          <w:szCs w:val="22"/>
        </w:rPr>
        <w:t xml:space="preserve">polyradiculo-neuropathy, in-terim, with-drawal, de-monstrate, de-pendency</w:t>
      </w:r>
      <w:r>
        <w:rPr>
          <w:rFonts w:ascii="Calibri" w:cs="Calibri" w:eastAsia="Calibri" w:hAnsi="Calibri"/>
          <w:sz w:val="22"/>
          <w:szCs w:val="22"/>
        </w:rPr>
        <w:t xml:space="preserve">. This will hurt full-text search and embedding quality.</w:t>
      </w:r>
    </w:p>
    <w:p>
      <w:pPr>
        <w:pStyle w:val="Heading2"/>
        <w:spacing w:after="120" w:before="200"/>
      </w:pPr>
      <w:r>
        <w:rPr>
          <w:rFonts w:ascii="Calibri" w:cs="Calibri" w:eastAsia="Calibri" w:hAnsi="Calibri"/>
          <w:b/>
          <w:bCs/>
          <w:color w:val="2E75B6"/>
          <w:sz w:val="28"/>
          <w:szCs w:val="28"/>
        </w:rPr>
        <w:t xml:space="preserve">1.4  Figures and charts</w:t>
      </w:r>
    </w:p>
    <w:p>
      <w:pPr>
        <w:spacing w:after="120" w:line="300"/>
      </w:pPr>
      <w:r>
        <w:rPr>
          <w:rFonts w:ascii="Calibri" w:cs="Calibri" w:eastAsia="Calibri" w:hAnsi="Calibri"/>
          <w:sz w:val="22"/>
          <w:szCs w:val="22"/>
        </w:rPr>
        <w:t xml:space="preserve">Figure 1 (study schedule), Figure 2 (CONSORT diagram), and Figure 4 (Kaplan-Meier survival curve) are non-text artifacts. The two parsers handle them very differently.</w:t>
      </w:r>
    </w:p>
    <w:p>
      <w:pPr>
        <w:pStyle w:val="Heading3"/>
        <w:spacing w:after="100" w:before="160"/>
      </w:pPr>
      <w:r>
        <w:rPr>
          <w:rFonts w:ascii="Calibri" w:cs="Calibri" w:eastAsia="Calibri" w:hAnsi="Calibri"/>
          <w:b/>
          <w:bCs/>
          <w:color w:val="404040"/>
          <w:sz w:val="24"/>
          <w:szCs w:val="24"/>
        </w:rPr>
        <w:t xml:space="preserve">LlamaParse</w:t>
      </w:r>
    </w:p>
    <w:p>
      <w:pPr>
        <w:pStyle w:val="ListParagraph"/>
        <w:numPr>
          <w:ilvl w:val="0"/>
          <w:numId w:val="2"/>
        </w:numPr>
        <w:spacing w:after="80" w:line="280"/>
      </w:pPr>
      <w:r>
        <w:rPr>
          <w:rFonts w:ascii="Calibri" w:cs="Calibri" w:eastAsia="Calibri" w:hAnsi="Calibri"/>
          <w:sz w:val="22"/>
          <w:szCs w:val="22"/>
        </w:rPr>
        <w:t xml:space="preserve">Figure 1: image reference ![Diagram showing the restabilization and extension phases…](page_4_image_1_v2.jpg). Asset is retrievable.</w:t>
      </w:r>
    </w:p>
    <w:p>
      <w:pPr>
        <w:pStyle w:val="ListParagraph"/>
        <w:numPr>
          <w:ilvl w:val="0"/>
          <w:numId w:val="2"/>
        </w:numPr>
        <w:spacing w:after="80" w:line="280"/>
      </w:pPr>
      <w:r>
        <w:rPr>
          <w:rFonts w:ascii="Calibri" w:cs="Calibri" w:eastAsia="Calibri" w:hAnsi="Calibri"/>
          <w:sz w:val="22"/>
          <w:szCs w:val="22"/>
        </w:rPr>
        <w:t xml:space="preserve">Figure 2 (CONSORT): reconstructed as an HTML table with stage names down the rows and the two arms across the columns. Numerical content (n=96 eligible, 36 declined, 60 randomized, etc.) is captured in cells.</w:t>
      </w:r>
    </w:p>
    <w:p>
      <w:pPr>
        <w:pStyle w:val="ListParagraph"/>
        <w:numPr>
          <w:ilvl w:val="0"/>
          <w:numId w:val="2"/>
        </w:numPr>
        <w:spacing w:after="80" w:line="280"/>
      </w:pPr>
      <w:r>
        <w:rPr>
          <w:rFonts w:ascii="Calibri" w:cs="Calibri" w:eastAsia="Calibri" w:hAnsi="Calibri"/>
          <w:sz w:val="22"/>
          <w:szCs w:val="22"/>
        </w:rPr>
        <w:t xml:space="preserve">Figure 4 (Kaplan-Meier): every data point along the curve is sampled into a table with columns for week, proportion-withdrawal, proportion-continuation, and n-at-risk. The actual chart values are recoverable.</w:t>
      </w:r>
    </w:p>
    <w:p>
      <w:pPr>
        <w:pStyle w:val="Heading3"/>
        <w:spacing w:after="100" w:before="160"/>
      </w:pPr>
      <w:r>
        <w:rPr>
          <w:rFonts w:ascii="Calibri" w:cs="Calibri" w:eastAsia="Calibri" w:hAnsi="Calibri"/>
          <w:b/>
          <w:bCs/>
          <w:color w:val="404040"/>
          <w:sz w:val="24"/>
          <w:szCs w:val="24"/>
        </w:rPr>
        <w:t xml:space="preserve">Landing AI</w:t>
      </w:r>
    </w:p>
    <w:p>
      <w:pPr>
        <w:pStyle w:val="ListParagraph"/>
        <w:numPr>
          <w:ilvl w:val="0"/>
          <w:numId w:val="2"/>
        </w:numPr>
        <w:spacing w:after="80" w:line="280"/>
      </w:pPr>
      <w:r>
        <w:rPr>
          <w:rFonts w:ascii="Calibri" w:cs="Calibri" w:eastAsia="Calibri" w:hAnsi="Calibri"/>
          <w:sz w:val="22"/>
          <w:szCs w:val="22"/>
        </w:rPr>
        <w:t xml:space="preserve">Figure 1: described inside &lt;::logo:&gt;-style blocks for the BRAIN logo and the brain illustration; the schedule itself appears only in the figure caption text.</w:t>
      </w:r>
    </w:p>
    <w:p>
      <w:pPr>
        <w:pStyle w:val="ListParagraph"/>
        <w:numPr>
          <w:ilvl w:val="0"/>
          <w:numId w:val="2"/>
        </w:numPr>
        <w:spacing w:after="80" w:line="280"/>
      </w:pPr>
      <w:r>
        <w:rPr>
          <w:rFonts w:ascii="Calibri" w:cs="Calibri" w:eastAsia="Calibri" w:hAnsi="Calibri"/>
          <w:sz w:val="22"/>
          <w:szCs w:val="22"/>
        </w:rPr>
        <w:t xml:space="preserve">Figure 2: rendered as a long &lt;:: … : flowchart::&gt; block — a single run-on description of the boxes, no tabular structure.</w:t>
      </w:r>
    </w:p>
    <w:p>
      <w:pPr>
        <w:pStyle w:val="ListParagraph"/>
        <w:numPr>
          <w:ilvl w:val="0"/>
          <w:numId w:val="2"/>
        </w:numPr>
        <w:spacing w:after="80" w:line="280"/>
      </w:pPr>
      <w:r>
        <w:rPr>
          <w:rFonts w:ascii="Calibri" w:cs="Calibri" w:eastAsia="Calibri" w:hAnsi="Calibri"/>
          <w:sz w:val="22"/>
          <w:szCs w:val="22"/>
        </w:rPr>
        <w:t xml:space="preserve">Figure 4: not extracted. Only the caption 'Figure 4 Relapse end point during trial phase in both treatment arms.' survives.</w:t>
      </w:r>
    </w:p>
    <w:p>
      <w:pPr>
        <w:pStyle w:val="Heading2"/>
        <w:spacing w:after="120" w:before="200"/>
      </w:pPr>
      <w:r>
        <w:rPr>
          <w:rFonts w:ascii="Calibri" w:cs="Calibri" w:eastAsia="Calibri" w:hAnsi="Calibri"/>
          <w:b/>
          <w:bCs/>
          <w:color w:val="2E75B6"/>
          <w:sz w:val="28"/>
          <w:szCs w:val="28"/>
        </w:rPr>
        <w:t xml:space="preserve">1.5  Page furniture and noise</w:t>
      </w:r>
    </w:p>
    <w:p>
      <w:pPr>
        <w:spacing w:after="120" w:line="300"/>
      </w:pPr>
      <w:r>
        <w:rPr>
          <w:rFonts w:ascii="Calibri" w:cs="Calibri" w:eastAsia="Calibri" w:hAnsi="Calibri"/>
          <w:sz w:val="22"/>
          <w:szCs w:val="22"/>
        </w:rPr>
        <w:t xml:space="preserve">Both parsers see the per-page running header ('1642 | BRAIN 2022; 145; 1641-1652  M. E. Adrichem et al.') and the gray-box footer ('Downloaded from https://academic.oup.com/...').</w:t>
      </w:r>
    </w:p>
    <w:p>
      <w:pPr>
        <w:pStyle w:val="ListParagraph"/>
        <w:numPr>
          <w:ilvl w:val="0"/>
          <w:numId w:val="2"/>
        </w:numPr>
        <w:spacing w:after="80" w:line="280"/>
      </w:pPr>
      <w:r>
        <w:rPr>
          <w:rFonts w:ascii="Calibri" w:cs="Calibri" w:eastAsia="Calibri" w:hAnsi="Calibri"/>
          <w:b/>
          <w:bCs/>
          <w:sz w:val="22"/>
          <w:szCs w:val="22"/>
        </w:rPr>
        <w:t xml:space="preserve">LlamaParse </w:t>
      </w:r>
      <w:r>
        <w:rPr>
          <w:rFonts w:ascii="Calibri" w:cs="Calibri" w:eastAsia="Calibri" w:hAnsi="Calibri"/>
          <w:sz w:val="22"/>
          <w:szCs w:val="22"/>
        </w:rPr>
        <w:t xml:space="preserve">wraps these in semantic </w:t>
      </w:r>
      <w:r>
        <w:rPr>
          <w:rFonts w:ascii="Consolas" w:cs="Consolas" w:eastAsia="Consolas" w:hAnsi="Consolas"/>
          <w:sz w:val="20"/>
          <w:szCs w:val="20"/>
        </w:rPr>
        <w:t xml:space="preserve">&lt;page_header&gt;</w:t>
      </w:r>
      <w:r>
        <w:rPr>
          <w:rFonts w:ascii="Calibri" w:cs="Calibri" w:eastAsia="Calibri" w:hAnsi="Calibri"/>
          <w:sz w:val="22"/>
          <w:szCs w:val="22"/>
        </w:rPr>
        <w:t xml:space="preserve"> and </w:t>
      </w:r>
      <w:r>
        <w:rPr>
          <w:rFonts w:ascii="Consolas" w:cs="Consolas" w:eastAsia="Consolas" w:hAnsi="Consolas"/>
          <w:sz w:val="20"/>
          <w:szCs w:val="20"/>
        </w:rPr>
        <w:t xml:space="preserve">&lt;page_footer&gt;</w:t>
      </w:r>
      <w:r>
        <w:rPr>
          <w:rFonts w:ascii="Calibri" w:cs="Calibri" w:eastAsia="Calibri" w:hAnsi="Calibri"/>
          <w:sz w:val="22"/>
          <w:szCs w:val="22"/>
        </w:rPr>
        <w:t xml:space="preserve"> tags. They appear once near each page boundary and can be stripped with a single regex.</w:t>
      </w:r>
    </w:p>
    <w:p>
      <w:pPr>
        <w:pStyle w:val="ListParagraph"/>
        <w:numPr>
          <w:ilvl w:val="0"/>
          <w:numId w:val="2"/>
        </w:numPr>
        <w:spacing w:after="80" w:line="280"/>
      </w:pPr>
      <w:r>
        <w:rPr>
          <w:rFonts w:ascii="Calibri" w:cs="Calibri" w:eastAsia="Calibri" w:hAnsi="Calibri"/>
          <w:b/>
          <w:bCs/>
          <w:sz w:val="22"/>
          <w:szCs w:val="22"/>
        </w:rPr>
        <w:t xml:space="preserve">Landing AI </w:t>
      </w:r>
      <w:r>
        <w:rPr>
          <w:rFonts w:ascii="Calibri" w:cs="Calibri" w:eastAsia="Calibri" w:hAnsi="Calibri"/>
          <w:sz w:val="22"/>
          <w:szCs w:val="22"/>
        </w:rPr>
        <w:t xml:space="preserve">drops them in as plain paragraphs. The string 'Downloaded from https://academic.oup.com/...by guest on 27 September 2023' appears more than ten times in the file. Page numbers like '1646' and journal banners like 'BRAIN 2022: 145; 1641–1652' are sprinkled between body paragraphs.</w:t>
      </w:r>
    </w:p>
    <w:p>
      <w:pPr>
        <w:pStyle w:val="Heading1"/>
        <w:spacing w:after="160" w:before="240"/>
      </w:pPr>
      <w:r>
        <w:rPr>
          <w:rFonts w:ascii="Calibri" w:cs="Calibri" w:eastAsia="Calibri" w:hAnsi="Calibri"/>
          <w:b/>
          <w:bCs/>
          <w:color w:val="1F3864"/>
          <w:sz w:val="36"/>
          <w:szCs w:val="36"/>
        </w:rPr>
        <w:t xml:space="preserve">2. Feature comparison</w:t>
      </w:r>
    </w:p>
    <w:p>
      <w:pPr>
        <w:spacing w:after="120" w:line="300"/>
      </w:pPr>
      <w:r>
        <w:rPr>
          <w:rFonts w:ascii="Calibri" w:cs="Calibri" w:eastAsia="Calibri" w:hAnsi="Calibri"/>
          <w:sz w:val="22"/>
          <w:szCs w:val="22"/>
        </w:rPr>
        <w:t xml:space="preserve">Each row evaluates one criterion across both parsers. The criterion column is shaded; cells underneath describe what each parser actually did on this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jc w:val="left"/>
            </w:pPr>
            <w:r>
              <w:rPr>
                <w:rFonts w:ascii="Calibri" w:cs="Calibri" w:eastAsia="Calibri" w:hAnsi="Calibri"/>
                <w:b/>
                <w:bCs/>
                <w:color w:val="FFFFFF"/>
                <w:sz w:val="20"/>
                <w:szCs w:val="20"/>
              </w:rPr>
              <w:t xml:space="preserve">Criterion</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jc w:val="left"/>
            </w:pPr>
            <w:r>
              <w:rPr>
                <w:rFonts w:ascii="Calibri" w:cs="Calibri" w:eastAsia="Calibri" w:hAnsi="Calibri"/>
                <w:b/>
                <w:bCs/>
                <w:color w:val="FFFFFF"/>
                <w:sz w:val="20"/>
                <w:szCs w:val="20"/>
              </w:rPr>
              <w:t xml:space="preserve">LlamaParse  (output.md)</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jc w:val="left"/>
            </w:pPr>
            <w:r>
              <w:rPr>
                <w:rFonts w:ascii="Calibri" w:cs="Calibri" w:eastAsia="Calibri" w:hAnsi="Calibri"/>
                <w:b/>
                <w:bCs/>
                <w:color w:val="FFFFFF"/>
                <w:sz w:val="20"/>
                <w:szCs w:val="20"/>
              </w:rPr>
              <w:t xml:space="preserve">Landing AI  (Adrichem_2022.md)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Title rendering</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Clean Markdown H1 (# Withdrawal of intravenous immunoglobulin...). Renders as proper title.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Title is plain text on three lines, no heading marker. Won't render as a heading.</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Author block</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Single paragraph with proper HTML &lt;sup&gt; tags for affiliation numbers. Typographically correct.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Uses Unicode superscript chars (¹,²,⁴) mixed with literal '(iD)' OCR artifact for the ORCID icon.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Heading hierarchy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Logical levels: # for top, ## for sections, ### for sub-sections (Acknowledgements, Funding, Competing interests).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Inconsistent: most sections use ##, but Acknowledgements and Funding use #, breaking the outline.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Tables — structure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Real &lt;thead&gt;/&lt;tbody&gt;/&lt;th&gt;/&lt;td&gt; with colspan &amp; rowspan. Renders correctly in Markdown viewers and is round-trippable.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Custom &lt;table id=...&gt; with a unique id on every cell (id="6-1", "6-2", … "6-1s"). No &lt;thead&gt;, no header semantics. Cluttered.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Tables — content fidelity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Header rows separated. Multi-row labels collapsed via rowspan. Footnote markers preserved as &lt;sup&gt;a&lt;/sup&gt;, &lt;sup&gt;b&lt;/sup&gt;.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Cells include OCR artifacts: 'changeⁿ' instead of 'changeᵃ'; '0°' instead of '0ᵇ'; '(SD 28.9' missing closing paren in Table 2.</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Hyphenation across line breaks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Correctly de-hyphenated. 'polyradiculoneuropathy', 'interim', 'withdrawal' read as single words.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End-of-line hyphens preserved as-is: 'polyradiculo-neuropathy', 'in-terim', 'with-drawal', 'de-monstrate', 'de-pendency'. Many broken words.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Page furniture (headers/footers)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Tagged with semantic &lt;page_header&gt; and &lt;page_footer&gt;. Easy to strip programmatically.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Page numbers ('1642 | BRAIN 2022...') and 'Downloaded from...' lines are interleaved with body text on every page boundary as plain paragraphs.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Figures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Preserved as Markdown image refs (![desc](page_1_image_1_v2.jpg)). Image assets retrievable.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Figures encoded as inline &lt;::logo: …::&gt; or &lt;::flowchart::&gt; blocks containing a verbal description. No image asset reference.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Charts (Fig. 4 Kaplan-Meier)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Extracted into a structured HTML table of (week, proportion-withdrawal, proportion-continuation, n-at-risk). Actual data recovered.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Not extracted at all. Only a one-line caption 'Figure 4 Relapse end point during trial phase in both treatment arms.'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Reading order around tables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Tables appear close to where they are referenced. Table 2 sits inside the Results &gt; Trial phase prose.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Table 1 appears AFTER paragraphs that already discuss the results, because it follows the PDF's two-column physical layout. Flow is broken.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Reference list formatting</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Numbered list with italic journal names: *Eur J Neurol*. 2010;17(3):356–363. Reference numbers are clean.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Numbered references rendered, but no italic journal names. Otherwise comparable.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Noise / artifacts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Some duplication (the primary-outcome row table appears twice in slightly different forms) and a couple of literal '\*b' escape artifacts in Table 3 footnotes.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Heavy noise: per-page 'Downloaded from...' footer is repeated 11+ times; page numbers and journal banner appear as standalone paragraphs throughout.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Metadata / debuggability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No explicit metadata block. Image filenames hint at page provenance.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Includes a header summary block: total chunks (142), counts by type (figure: 3, logo: 2, marginalia: 36, table: 5, text: 96). Useful for diagnostics.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Unique semantic features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&lt;mark&gt; highlights on key sentences (likely flagged claims), bold **Keywords:** / **Abbreviations:** labels.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Per-element type tags (&lt;::logo: …::&gt;, &lt;::flowchart::&gt;, marginalia counted separately). Closer to a layout-aware parse tree.</w:t>
            </w:r>
          </w:p>
        </w:tc>
      </w:tr>
    </w:tbl>
    <w:p>
      <w:pPr>
        <w:pStyle w:val="Heading1"/>
        <w:spacing w:after="160" w:before="240"/>
      </w:pPr>
      <w:r>
        <w:rPr>
          <w:rFonts w:ascii="Calibri" w:cs="Calibri" w:eastAsia="Calibri" w:hAnsi="Calibri"/>
          <w:b/>
          <w:bCs/>
          <w:color w:val="1F3864"/>
          <w:sz w:val="36"/>
          <w:szCs w:val="36"/>
        </w:rPr>
        <w:t xml:space="preserve">3. Recommendation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jc w:val="left"/>
            </w:pPr>
            <w:r>
              <w:rPr>
                <w:rFonts w:ascii="Calibri" w:cs="Calibri" w:eastAsia="Calibri" w:hAnsi="Calibri"/>
                <w:b/>
                <w:bCs/>
                <w:color w:val="FFFFFF"/>
                <w:sz w:val="20"/>
                <w:szCs w:val="20"/>
              </w:rPr>
              <w:t xml:space="preserve">Use case</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jc w:val="left"/>
            </w:pPr>
            <w:r>
              <w:rPr>
                <w:rFonts w:ascii="Calibri" w:cs="Calibri" w:eastAsia="Calibri" w:hAnsi="Calibri"/>
                <w:b/>
                <w:bCs/>
                <w:color w:val="FFFFFF"/>
                <w:sz w:val="20"/>
                <w:szCs w:val="20"/>
              </w:rPr>
              <w:t xml:space="preserve">LlamaParse</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40"/>
              <w:jc w:val="left"/>
            </w:pPr>
            <w:r>
              <w:rPr>
                <w:rFonts w:ascii="Calibri" w:cs="Calibri" w:eastAsia="Calibri" w:hAnsi="Calibri"/>
                <w:b/>
                <w:bCs/>
                <w:color w:val="FFFFFF"/>
                <w:sz w:val="20"/>
                <w:szCs w:val="20"/>
              </w:rPr>
              <w:t xml:space="preserve">Landing AI</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RAG / vector indexing</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Recommended — clean prose, no broken hyphenated words to wreck embeddings.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Risky — hyphen splits and repeated footer text will leak into chunks.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Human reading / republishing</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Recommended — renders as a proper Markdown article.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Not ideal — heavy cleanup needed before display.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Programmatic table extraction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Recommended — semantic &lt;thead&gt;/&lt;tbody&gt;; rowspan/colspan preserved.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Workable but needs scrubbing of id attrs and OCR artifacts.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Layout / bounding-box analysis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Limited — image filenames only.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Strong — element types tagged (logo, marginalia, flowchart) with descriptions.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Recovering chart data</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Recommended — Fig. 4 was reconstructed into a data table.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left"/>
            </w:pPr>
            <w:r>
              <w:rPr>
                <w:rFonts w:ascii="Calibri" w:cs="Calibri" w:eastAsia="Calibri" w:hAnsi="Calibri"/>
                <w:b w:val="false"/>
                <w:bCs w:val="false"/>
                <w:color w:val="000000"/>
                <w:sz w:val="20"/>
                <w:szCs w:val="20"/>
              </w:rPr>
              <w:t xml:space="preserve">Not supported — charts collapsed to caption text.</w:t>
            </w:r>
          </w:p>
        </w:tc>
      </w:tr>
    </w:tbl>
    <w:p>
      <w:pPr>
        <w:pStyle w:val="Heading1"/>
        <w:spacing w:after="160" w:before="240"/>
      </w:pPr>
      <w:r>
        <w:rPr>
          <w:rFonts w:ascii="Calibri" w:cs="Calibri" w:eastAsia="Calibri" w:hAnsi="Calibri"/>
          <w:b/>
          <w:bCs/>
          <w:color w:val="1F3864"/>
          <w:sz w:val="36"/>
          <w:szCs w:val="36"/>
        </w:rPr>
        <w:t xml:space="preserve">4. Notes on what each parser is optimized for</w:t>
      </w:r>
    </w:p>
    <w:p>
      <w:pPr>
        <w:spacing w:after="120" w:line="300"/>
      </w:pPr>
      <w:r>
        <w:rPr>
          <w:rFonts w:ascii="Calibri" w:cs="Calibri" w:eastAsia="Calibri" w:hAnsi="Calibri"/>
          <w:sz w:val="22"/>
          <w:szCs w:val="22"/>
        </w:rPr>
        <w:t xml:space="preserve">LlamaParse appears tuned for downstream consumption — clean Markdown / HTML hybrid that renders well, strips repetitive page furniture, and tries hard to recover semantic structure including chart data. The cost is that it sometimes inserts a near-duplicate of a small table (the primary-outcome summary appears twice) and occasionally reorders content to fit a logical, rather than physical, reading order.</w:t>
      </w:r>
    </w:p>
    <w:p>
      <w:pPr>
        <w:spacing w:after="120" w:line="300"/>
      </w:pPr>
      <w:r>
        <w:rPr>
          <w:rFonts w:ascii="Calibri" w:cs="Calibri" w:eastAsia="Calibri" w:hAnsi="Calibri"/>
          <w:sz w:val="22"/>
          <w:szCs w:val="22"/>
        </w:rPr>
        <w:t xml:space="preserve">Landing AI appears tuned for layout-faithful extraction — every page element is typed (figure, logo, marginalia, table, text), every cell carries a provenance id, and the original PDF's column-order reading sequence is preserved. The cost is that everything you would normally clean up at the printing stage (line-break hyphens, page numbers, repeated download banners, OCR slips on superscript glyphs) survives into the Markdown.</w:t>
      </w:r>
    </w:p>
    <w:p>
      <w:pPr>
        <w:spacing w:after="120" w:line="300"/>
      </w:pPr>
      <w:r>
        <w:rPr>
          <w:rFonts w:ascii="Calibri" w:cs="Calibri" w:eastAsia="Calibri" w:hAnsi="Calibri"/>
          <w:sz w:val="22"/>
          <w:szCs w:val="22"/>
        </w:rPr>
        <w:t xml:space="preserve">For the use case implied by the question — a visual, human-comparable representation of the article — LlamaParse wins. For pipelines that need provenance back to PDF coordinates or want to reason about page-level layout chunks, Landing AI's output, after a cleanup pass, is more informative.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Parser Comparison: Adrichem 2022</dc:title>
  <dc:creator>Claude</dc:creator>
  <cp:lastModifiedBy>Un-named</cp:lastModifiedBy>
  <cp:revision>1</cp:revision>
  <dcterms:created xsi:type="dcterms:W3CDTF">2026-05-06T11:21:16.775Z</dcterms:created>
  <dcterms:modified xsi:type="dcterms:W3CDTF">2026-05-06T11:21:16.776Z</dcterms:modified>
</cp:coreProperties>
</file>

<file path=docProps/custom.xml><?xml version="1.0" encoding="utf-8"?>
<Properties xmlns="http://schemas.openxmlformats.org/officeDocument/2006/custom-properties" xmlns:vt="http://schemas.openxmlformats.org/officeDocument/2006/docPropsVTypes"/>
</file>