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spacing w:after="100"/>
        <w:jc w:val="center"/>
      </w:pPr>
      <w:r>
        <w:rPr>
          <w:rFonts w:ascii="Georgia" w:cs="Georgia" w:eastAsia="Georgia" w:hAnsi="Georgia"/>
          <w:b/>
          <w:bCs/>
          <w:color w:val="1B2A4A"/>
          <w:sz w:val="56"/>
          <w:szCs w:val="56"/>
        </w:rPr>
        <w:t xml:space="preserve">CRMlint</w:t>
      </w:r>
    </w:p>
    <w:p>
      <w:pPr>
        <w:spacing w:after="80"/>
        <w:jc w:val="center"/>
      </w:pPr>
      <w:r>
        <w:rPr>
          <w:rFonts w:ascii="Georgia" w:cs="Georgia" w:eastAsia="Georgia" w:hAnsi="Georgia"/>
          <w:color w:val="3D5A80"/>
          <w:sz w:val="36"/>
          <w:szCs w:val="36"/>
        </w:rPr>
        <w:t xml:space="preserve">From Forensics to Engineering</w:t>
      </w:r>
    </w:p>
    <w:p>
      <w:pPr>
        <w:spacing w:after="300"/>
        <w:jc w:val="center"/>
      </w:pPr>
      <w:r>
        <w:rPr>
          <w:rFonts w:ascii="Georgia" w:cs="Georgia" w:eastAsia="Georgia" w:hAnsi="Georgia"/>
          <w:i/>
          <w:iCs/>
          <w:color w:val="666666"/>
          <w:sz w:val="26"/>
          <w:szCs w:val="26"/>
        </w:rPr>
        <w:t xml:space="preserve">A Roadmap for Constructive Reverse-Engineering
of Mathematical Proofs</w:t>
      </w:r>
    </w:p>
    <w:p>
      <w:pPr>
        <w:pBdr>
          <w:bottom w:val="single" w:color="CCCCCC" w:sz="2" w:space="8"/>
        </w:pBdr>
        <w:spacing w:before="200" w:after="200"/>
      </w:pPr>
    </w:p>
    <w:p>
      <w:pPr>
        <w:spacing w:after="60"/>
        <w:jc w:val="center"/>
      </w:pPr>
      <w:r>
        <w:rPr>
          <w:rFonts w:ascii="Georgia" w:cs="Georgia" w:eastAsia="Georgia" w:hAnsi="Georgia"/>
          <w:color w:val="000000"/>
          <w:sz w:val="24"/>
          <w:szCs w:val="24"/>
        </w:rPr>
        <w:t xml:space="preserve">Paul Chun-Kit Lee</w:t>
      </w:r>
    </w:p>
    <w:p>
      <w:pPr>
        <w:spacing w:after="60"/>
        <w:jc w:val="center"/>
      </w:pPr>
      <w:r>
        <w:rPr>
          <w:rFonts w:ascii="Georgia" w:cs="Georgia" w:eastAsia="Georgia" w:hAnsi="Georgia"/>
          <w:color w:val="666666"/>
          <w:sz w:val="22"/>
          <w:szCs w:val="22"/>
        </w:rPr>
        <w:t xml:space="preserve">March 2026</w:t>
      </w:r>
    </w:p>
    <w:p>
      <w:pPr>
        <w:spacing w:after="200"/>
        <w:jc w:val="center"/>
      </w:pPr>
      <w:r>
        <w:rPr>
          <w:rFonts w:ascii="Georgia" w:cs="Georgia" w:eastAsia="Georgia" w:hAnsi="Georgia"/>
          <w:i/>
          <w:iCs/>
          <w:color w:val="666666"/>
          <w:sz w:val="20"/>
          <w:szCs w:val="20"/>
        </w:rPr>
        <w:t xml:space="preserve">Companion to Paper 98: The Motivic CRM Architecture</w:t>
      </w:r>
    </w:p>
    <w:p>
      <w:r>
        <w:br w:type="page"/>
      </w:r>
    </w:p>
    <w:p>
      <w:pPr>
        <w:pStyle w:val="Heading1"/>
        <w:spacing w:before="400" w:after="200"/>
      </w:pPr>
      <w:r>
        <w:rPr>
          <w:rFonts w:ascii="Georgia" w:cs="Georgia" w:eastAsia="Georgia" w:hAnsi="Georgia"/>
          <w:b/>
          <w:bCs/>
          <w:color w:val="1B2A4A"/>
          <w:sz w:val="32"/>
          <w:szCs w:val="32"/>
        </w:rPr>
        <w:t xml:space="preserve">1. Executive Summary</w:t>
      </w:r>
    </w:p>
    <w:p>
      <w:pPr>
        <w:spacing w:after="160" w:line="300"/>
      </w:pPr>
      <w:r>
        <w:rPr>
          <w:rFonts w:ascii="Georgia" w:cs="Georgia" w:eastAsia="Georgia" w:hAnsi="Georgia"/>
          <w:color w:val="000000"/>
          <w:sz w:val="22"/>
          <w:szCs w:val="22"/>
        </w:rPr>
        <w:t xml:space="preserve">Papers 50–97 of the CRM programme dissected the logical anatomy of arithmetic geometry, calibrating the constructive reverse mathematics (CRM) signature of theorems across six Langlands-connected domains. Paper 98 synthesized these findings into the Archimedean Obstruction Thesis: the real numbers are the unique source of non-constructive content in the mathematics connected by the Langlands program.</w:t>
      </w:r>
    </w:p>
    <w:p>
      <w:pPr>
        <w:spacing w:after="160" w:line="300"/>
      </w:pPr>
      <w:r>
        <w:rPr>
          <w:rFonts w:ascii="Georgia" w:cs="Georgia" w:eastAsia="Georgia" w:hAnsi="Georgia"/>
          <w:color w:val="000000"/>
          <w:sz w:val="22"/>
          <w:szCs w:val="22"/>
        </w:rPr>
        <w:t xml:space="preserve">This document proposes the next phase: converting CRMlint from a diagnostic classifier into a proof-engineering tool. The core insight is that CRM signatures are computable invariants of proof paths, not just theorems. Different proof paths to the same theorem can have different signatures. A tool that computes signatures, localizes classical bottlenecks, and proposes constructive substitutions would systematically identify opportunities for logical simplification that mathematicians, working within domain-specific traditions, routinely overlook.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80" w:sz="1"/>
              <w:left w:val="single" w:color="E07A3A" w:sz="8"/>
              <w:bottom w:val="single" w:color="3D5A80" w:sz="1"/>
              <w:right w:val="single" w:color="3D5A80" w:sz="1"/>
            </w:tcBorders>
            <w:shd w:fill="F0F4F8" w:val="clear"/>
            <w:tcMar>
              <w:top w:type="dxa" w:w="160"/>
              <w:left w:type="dxa" w:w="200"/>
              <w:bottom w:type="dxa" w:w="160"/>
              <w:right w:type="dxa" w:w="200"/>
            </w:tcMar>
          </w:tcPr>
          <w:p>
            <w:pPr>
              <w:spacing w:after="160" w:line="300"/>
            </w:pPr>
            <w:r>
              <w:rPr>
                <w:rFonts w:ascii="Georgia" w:cs="Georgia" w:eastAsia="Georgia" w:hAnsi="Georgia"/>
                <w:b/>
                <w:bCs/>
                <w:color w:val="1B2A4A"/>
                <w:sz w:val="22"/>
                <w:szCs w:val="22"/>
              </w:rPr>
              <w:t xml:space="preserve">The Analogy. </w:t>
            </w:r>
            <w:r>
              <w:rPr>
                <w:rFonts w:ascii="Georgia" w:cs="Georgia" w:eastAsia="Georgia" w:hAnsi="Georgia"/>
                <w:color w:val="000000"/>
                <w:sz w:val="22"/>
                <w:szCs w:val="22"/>
              </w:rPr>
              <w:t xml:space="preserve">In hardware reverse engineering, you decap a chip, extract the netlist, and identify which gates carry which cost. Then you re-engineer: same function, fewer gates, lower power. Papers 50–97 were the decapping. Paper 98 is the architectural diagram. CRMlint-as-design-tool is the re-engineering phase: same theorem, new proof, optimized for logical simplicity.</w:t>
            </w:r>
          </w:p>
        </w:tc>
      </w:tr>
    </w:tbl>
    <w:p>
      <w:pPr>
        <w:pStyle w:val="Heading1"/>
        <w:spacing w:before="400" w:after="200"/>
      </w:pPr>
      <w:r>
        <w:rPr>
          <w:rFonts w:ascii="Georgia" w:cs="Georgia" w:eastAsia="Georgia" w:hAnsi="Georgia"/>
          <w:b/>
          <w:bCs/>
          <w:color w:val="1B2A4A"/>
          <w:sz w:val="32"/>
          <w:szCs w:val="32"/>
        </w:rPr>
        <w:t xml:space="preserve">2. The Pivot: Diagnosis to Design</w:t>
      </w:r>
    </w:p>
    <w:p>
      <w:pPr>
        <w:spacing w:after="160" w:line="300"/>
      </w:pPr>
      <w:r>
        <w:rPr>
          <w:rFonts w:ascii="Georgia" w:cs="Georgia" w:eastAsia="Georgia" w:hAnsi="Georgia"/>
          <w:color w:val="000000"/>
          <w:sz w:val="22"/>
          <w:szCs w:val="22"/>
        </w:rPr>
        <w:t xml:space="preserve">CRMlint currently performs one operation: given a formalized proof (or a semi-formal proof sketch annotated with realization tags), it computes the CRM signature by propagating the maximum across the proof path. This is forensic analysis. The pivot requires three new capabilities.</w:t>
      </w:r>
    </w:p>
    <w:p>
      <w:pPr>
        <w:pStyle w:val="Heading2"/>
        <w:spacing w:before="300" w:after="150"/>
      </w:pPr>
      <w:r>
        <w:rPr>
          <w:rFonts w:ascii="Georgia" w:cs="Georgia" w:eastAsia="Georgia" w:hAnsi="Georgia"/>
          <w:b/>
          <w:bCs/>
          <w:color w:val="3D5A80"/>
          <w:sz w:val="26"/>
          <w:szCs w:val="26"/>
        </w:rPr>
        <w:t xml:space="preserve">2.1 Bottleneck Localization</w:t>
      </w:r>
    </w:p>
    <w:p>
      <w:pPr>
        <w:spacing w:after="160" w:line="300"/>
      </w:pPr>
      <w:r>
        <w:rPr>
          <w:rFonts w:ascii="Georgia" w:cs="Georgia" w:eastAsia="Georgia" w:hAnsi="Georgia"/>
          <w:color w:val="000000"/>
          <w:sz w:val="22"/>
          <w:szCs w:val="22"/>
        </w:rPr>
        <w:t xml:space="preserve">Given a proof path P with signature σ(P) = CLASS, identify the minimal subset of steps S ⊆ P such that removing or replacing S would reduce σ(P). This is the obstruction detector. It answers: where exactly does the classical content enter, and how deeply is it embedded?</w:t>
      </w:r>
    </w:p>
    <w:p>
      <w:pPr>
        <w:spacing w:after="160" w:line="300"/>
      </w:pPr>
      <w:r>
        <w:rPr>
          <w:rFonts w:ascii="Georgia" w:cs="Georgia" w:eastAsia="Georgia" w:hAnsi="Georgia"/>
          <w:b/>
          <w:bCs/>
          <w:color w:val="000000"/>
          <w:sz w:val="22"/>
          <w:szCs w:val="22"/>
        </w:rPr>
        <w:t xml:space="preserve">Output format: </w:t>
      </w:r>
      <w:r>
        <w:rPr>
          <w:rFonts w:ascii="Georgia" w:cs="Georgia" w:eastAsia="Georgia" w:hAnsi="Georgia"/>
          <w:color w:val="000000"/>
          <w:sz w:val="22"/>
          <w:szCs w:val="22"/>
        </w:rPr>
        <w:t xml:space="preserve">a ranked list of classical bottlenecks, each annotated with its CRM cost, its structural role in the proof (essential vs. convenience), and whether known substitutions exist.</w:t>
      </w:r>
    </w:p>
    <w:p>
      <w:pPr>
        <w:pStyle w:val="Heading2"/>
        <w:spacing w:before="300" w:after="150"/>
      </w:pPr>
      <w:r>
        <w:rPr>
          <w:rFonts w:ascii="Georgia" w:cs="Georgia" w:eastAsia="Georgia" w:hAnsi="Georgia"/>
          <w:b/>
          <w:bCs/>
          <w:color w:val="3D5A80"/>
          <w:sz w:val="26"/>
          <w:szCs w:val="26"/>
        </w:rPr>
        <w:t xml:space="preserve">2.2 Substitution Proposal</w:t>
      </w:r>
    </w:p>
    <w:p>
      <w:pPr>
        <w:spacing w:after="160" w:line="300"/>
      </w:pPr>
      <w:r>
        <w:rPr>
          <w:rFonts w:ascii="Georgia" w:cs="Georgia" w:eastAsia="Georgia" w:hAnsi="Georgia"/>
          <w:color w:val="000000"/>
          <w:sz w:val="22"/>
          <w:szCs w:val="22"/>
        </w:rPr>
        <w:t xml:space="preserve">Given a localized bottleneck, consult a database of known CRM-reducing substitutions and propose replacements. Each substitution is a pair (classical technique, constructive alternative) with applicability conditions, signature reduction, and references to the paper in the CRM programme where the substitution was first identified.</w:t>
      </w:r>
    </w:p>
    <w:p>
      <w:pPr>
        <w:pStyle w:val="Heading2"/>
        <w:spacing w:before="300" w:after="150"/>
      </w:pPr>
      <w:r>
        <w:rPr>
          <w:rFonts w:ascii="Georgia" w:cs="Georgia" w:eastAsia="Georgia" w:hAnsi="Georgia"/>
          <w:b/>
          <w:bCs/>
          <w:color w:val="3D5A80"/>
          <w:sz w:val="26"/>
          <w:szCs w:val="26"/>
        </w:rPr>
        <w:t xml:space="preserve">2.3 Constrained Proof Search</w:t>
      </w:r>
    </w:p>
    <w:p>
      <w:pPr>
        <w:spacing w:after="160" w:line="300"/>
      </w:pPr>
      <w:r>
        <w:rPr>
          <w:rFonts w:ascii="Georgia" w:cs="Georgia" w:eastAsia="Georgia" w:hAnsi="Georgia"/>
          <w:color w:val="000000"/>
          <w:sz w:val="22"/>
          <w:szCs w:val="22"/>
        </w:rPr>
        <w:t xml:space="preserve">Given a theorem statement in Lean 4, a target CRM signature, and access to Mathlib’s tactic library, attempt to construct a proof that stays within the target signature. CRMlint acts as a constraint filter: any tactic invocation that would elevate the signature above the target is blocked. A language model proposes strategies; Lean verifies; CRMlint filters.</w:t>
      </w:r>
    </w:p>
    <w:p>
      <w:pPr>
        <w:pStyle w:val="Heading1"/>
        <w:spacing w:before="400" w:after="200"/>
      </w:pPr>
      <w:r>
        <w:rPr>
          <w:rFonts w:ascii="Georgia" w:cs="Georgia" w:eastAsia="Georgia" w:hAnsi="Georgia"/>
          <w:b/>
          <w:bCs/>
          <w:color w:val="1B2A4A"/>
          <w:sz w:val="32"/>
          <w:szCs w:val="32"/>
        </w:rPr>
        <w:t xml:space="preserve">3. Implementation: Three Stages</w:t>
      </w:r>
    </w:p>
    <w:p>
      <w:pPr>
        <w:pStyle w:val="Heading2"/>
        <w:spacing w:before="300" w:after="150"/>
      </w:pPr>
      <w:r>
        <w:rPr>
          <w:rFonts w:ascii="Georgia" w:cs="Georgia" w:eastAsia="Georgia" w:hAnsi="Georgia"/>
          <w:b/>
          <w:bCs/>
          <w:color w:val="3D5A80"/>
          <w:sz w:val="26"/>
          <w:szCs w:val="26"/>
        </w:rPr>
        <w:t xml:space="preserve">Stage 1: The Obstruction Detector</w:t>
      </w:r>
    </w:p>
    <w:p>
      <w:pPr>
        <w:spacing w:after="160" w:line="300"/>
      </w:pPr>
      <w:r>
        <w:rPr>
          <w:rFonts w:ascii="Georgia" w:cs="Georgia" w:eastAsia="Georgia" w:hAnsi="Georgia"/>
          <w:i/>
          <w:iCs/>
          <w:color w:val="666666"/>
          <w:sz w:val="22"/>
          <w:szCs w:val="22"/>
        </w:rPr>
        <w:t xml:space="preserve">Timeline: 3–6 months. Builds directly on existing CRMlint infrastructure.</w:t>
      </w:r>
    </w:p>
    <w:p>
      <w:pPr>
        <w:spacing w:after="160" w:line="300"/>
      </w:pPr>
      <w:r>
        <w:rPr>
          <w:rFonts w:ascii="Georgia" w:cs="Georgia" w:eastAsia="Georgia" w:hAnsi="Georgia"/>
          <w:color w:val="000000"/>
          <w:sz w:val="22"/>
          <w:szCs w:val="22"/>
        </w:rPr>
        <w:t xml:space="preserve">Extend CRMlint to accept proof sketches (semi-formal, with realization annotations) in addition to fully formalized Lean proofs. For each step, CRMlint computes the local CRM cost and flags any step whose removal would reduce the global signature. The key technical challenge is dependency analysis: a bottleneck is removable only if no downstream step depends on its full classical strength.</w:t>
      </w:r>
    </w:p>
    <w:p>
      <w:pPr>
        <w:spacing w:before="200" w:after="100"/>
      </w:pPr>
      <w:r>
        <w:rPr>
          <w:rFonts w:ascii="Georgia" w:cs="Georgia" w:eastAsia="Georgia" w:hAnsi="Georgia"/>
          <w:b/>
          <w:bCs/>
          <w:color w:val="E07A3A"/>
          <w:sz w:val="22"/>
          <w:szCs w:val="22"/>
        </w:rPr>
        <w:t xml:space="preserve">Deliverables</w:t>
      </w:r>
    </w:p>
    <w:p>
      <w:pPr>
        <w:pStyle w:val="ListParagraph"/>
        <w:numPr>
          <w:ilvl w:val="0"/>
          <w:numId w:val="2"/>
        </w:numPr>
        <w:spacing w:after="100" w:line="280"/>
      </w:pPr>
      <w:r>
        <w:rPr>
          <w:rFonts w:ascii="Georgia" w:cs="Georgia" w:eastAsia="Georgia" w:hAnsi="Georgia"/>
          <w:sz w:val="22"/>
          <w:szCs w:val="22"/>
        </w:rPr>
        <w:t xml:space="preserve">CRMlint v2 with bottleneck localization for annotated proof sketches</w:t>
      </w:r>
    </w:p>
    <w:p>
      <w:pPr>
        <w:pStyle w:val="ListParagraph"/>
        <w:numPr>
          <w:ilvl w:val="0"/>
          <w:numId w:val="2"/>
        </w:numPr>
        <w:spacing w:after="100" w:line="280"/>
      </w:pPr>
      <w:r>
        <w:rPr>
          <w:rFonts w:ascii="Georgia" w:cs="Georgia" w:eastAsia="Georgia" w:hAnsi="Georgia"/>
          <w:sz w:val="22"/>
          <w:szCs w:val="22"/>
        </w:rPr>
        <w:t xml:space="preserve">A standardized annotation language for realization tags in semi-formal proofs</w:t>
      </w:r>
    </w:p>
    <w:p>
      <w:pPr>
        <w:pStyle w:val="ListParagraph"/>
        <w:numPr>
          <w:ilvl w:val="0"/>
          <w:numId w:val="2"/>
        </w:numPr>
        <w:spacing w:after="100" w:line="280"/>
      </w:pPr>
      <w:r>
        <w:rPr>
          <w:rFonts w:ascii="Georgia" w:cs="Georgia" w:eastAsia="Georgia" w:hAnsi="Georgia"/>
          <w:sz w:val="22"/>
          <w:szCs w:val="22"/>
        </w:rPr>
        <w:t xml:space="preserve">Worked examples: TW patching (Paper 68–71), Hodge detection (Paper 87–90), BSD decoupling (Paper 95–96)</w:t>
      </w:r>
    </w:p>
    <w:p>
      <w:pPr>
        <w:spacing w:before="200" w:after="100"/>
      </w:pPr>
      <w:r>
        <w:rPr>
          <w:rFonts w:ascii="Georgia" w:cs="Georgia" w:eastAsia="Georgia" w:hAnsi="Georgia"/>
          <w:b/>
          <w:bCs/>
          <w:color w:val="E07A3A"/>
          <w:sz w:val="22"/>
          <w:szCs w:val="22"/>
        </w:rPr>
        <w:t xml:space="preserve">Validation</w:t>
      </w:r>
    </w:p>
    <w:p>
      <w:pPr>
        <w:spacing w:after="160" w:line="300"/>
      </w:pPr>
      <w:r>
        <w:rPr>
          <w:rFonts w:ascii="Georgia" w:cs="Georgia" w:eastAsia="Georgia" w:hAnsi="Georgia"/>
          <w:color w:val="000000"/>
          <w:sz w:val="22"/>
          <w:szCs w:val="22"/>
        </w:rPr>
        <w:t xml:space="preserve">Run the obstruction detector on the three calibration theorems from Paper 98. The tool should independently rediscover that the Petersson inner product is the removable CLASS bottleneck in Wiles 1993, that the Hodge decomposition is the irreducible CLASS bottleneck on the generic fiber, and that Kolyvagin’s Euler system is the irreducible CLASS bottleneck for Sha finiteness.</w:t>
      </w:r>
    </w:p>
    <w:p>
      <w:pPr>
        <w:spacing w:before="80" w:after="80"/>
      </w:pPr>
    </w:p>
    <w:p>
      <w:pPr>
        <w:pStyle w:val="Heading2"/>
        <w:spacing w:before="300" w:after="150"/>
      </w:pPr>
      <w:r>
        <w:rPr>
          <w:rFonts w:ascii="Georgia" w:cs="Georgia" w:eastAsia="Georgia" w:hAnsi="Georgia"/>
          <w:b/>
          <w:bCs/>
          <w:color w:val="3D5A80"/>
          <w:sz w:val="26"/>
          <w:szCs w:val="26"/>
        </w:rPr>
        <w:t xml:space="preserve">Stage 2: The Substitution Engine</w:t>
      </w:r>
    </w:p>
    <w:p>
      <w:pPr>
        <w:spacing w:after="160" w:line="300"/>
      </w:pPr>
      <w:r>
        <w:rPr>
          <w:rFonts w:ascii="Georgia" w:cs="Georgia" w:eastAsia="Georgia" w:hAnsi="Georgia"/>
          <w:i/>
          <w:iCs/>
          <w:color w:val="666666"/>
          <w:sz w:val="22"/>
          <w:szCs w:val="22"/>
        </w:rPr>
        <w:t xml:space="preserve">Timeline: 6–12 months. Requires systematic extraction from Papers 50–97.</w:t>
      </w:r>
    </w:p>
    <w:p>
      <w:pPr>
        <w:spacing w:after="160" w:line="300"/>
      </w:pPr>
      <w:r>
        <w:rPr>
          <w:rFonts w:ascii="Georgia" w:cs="Georgia" w:eastAsia="Georgia" w:hAnsi="Georgia"/>
          <w:color w:val="000000"/>
          <w:sz w:val="22"/>
          <w:szCs w:val="22"/>
        </w:rPr>
        <w:t xml:space="preserve">Build a structured database of CRM-reducing substitutions. Each entry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Classical technique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The method being replaced (e.g., Petersson inner product)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Constructive alternative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The replacement (e.g., TW patching)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Signature reduction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The CRM cost change (e.g., CLASS → WKL)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Applicability conditions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When the substitution is valid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Source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Paper in the CRM programme where first identified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Lean stub</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Formalized type signature in Lean 4</w:t>
            </w:r>
          </w:p>
        </w:tc>
      </w:tr>
    </w:tbl>
    <w:p>
      <w:pPr>
        <w:spacing w:before="80" w:after="80"/>
      </w:pPr>
    </w:p>
    <w:p>
      <w:pPr>
        <w:spacing w:before="200" w:after="100"/>
      </w:pPr>
      <w:r>
        <w:rPr>
          <w:rFonts w:ascii="Georgia" w:cs="Georgia" w:eastAsia="Georgia" w:hAnsi="Georgia"/>
          <w:b/>
          <w:bCs/>
          <w:color w:val="E07A3A"/>
          <w:sz w:val="22"/>
          <w:szCs w:val="22"/>
        </w:rPr>
        <w:t xml:space="preserve">Known Substitutions (Initial Database)</w:t>
      </w:r>
    </w:p>
    <w:p>
      <w:pPr>
        <w:spacing w:after="160" w:line="300"/>
      </w:pPr>
      <w:r>
        <w:rPr>
          <w:rFonts w:ascii="Georgia" w:cs="Georgia" w:eastAsia="Georgia" w:hAnsi="Georgia"/>
          <w:color w:val="000000"/>
          <w:sz w:val="22"/>
          <w:szCs w:val="22"/>
        </w:rPr>
        <w:t xml:space="preserve">The following substitutions have been identified across Papers 50–97 and form the seed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Classical Technique</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Constructive Alternative</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Reduction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Petersson inner product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Taylor–Wiles patching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CLASS → WKL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Hodge decomposition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Algebraic Hodge filtration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CLASS → BISH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Chebotarev density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Explicit Frobenius at finite primes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CLASS → BISH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Analytic continuation of L-functions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Algebraic special value formulas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CLASS → BISH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Spectral decomposition (trace formula)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Shtuka moduli (function fields)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CLASS → BISH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Arakelov height pairing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Néron–Tate via algebraic descent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CLASS → BISH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Hodge decomposition (generic)</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Kani–Rosen splitting (special locus)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WLPO → BISH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RET (Riemann Existence Theorem)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Étale fundamental group (finite case)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CLASS → BISH</w:t>
            </w:r>
          </w:p>
        </w:tc>
      </w:tr>
    </w:tbl>
    <w:p>
      <w:pPr>
        <w:spacing w:before="80" w:after="80"/>
      </w:pPr>
    </w:p>
    <w:p>
      <w:pPr>
        <w:spacing w:before="200" w:after="100"/>
      </w:pPr>
      <w:r>
        <w:rPr>
          <w:rFonts w:ascii="Georgia" w:cs="Georgia" w:eastAsia="Georgia" w:hAnsi="Georgia"/>
          <w:b/>
          <w:bCs/>
          <w:color w:val="E07A3A"/>
          <w:sz w:val="22"/>
          <w:szCs w:val="22"/>
        </w:rPr>
        <w:t xml:space="preserve">Validation</w:t>
      </w:r>
    </w:p>
    <w:p>
      <w:pPr>
        <w:spacing w:after="160" w:line="300"/>
      </w:pPr>
      <w:r>
        <w:rPr>
          <w:rFonts w:ascii="Georgia" w:cs="Georgia" w:eastAsia="Georgia" w:hAnsi="Georgia"/>
          <w:color w:val="000000"/>
          <w:sz w:val="22"/>
          <w:szCs w:val="22"/>
        </w:rPr>
        <w:t xml:space="preserve">Given a proof sketch of modularity for semistable elliptic curves (Wiles–Taylor), the substitution engine should automatically propose the TW patching substitution for the Petersson inner product step, with the correct applicability conditions and signature reduction.</w:t>
      </w:r>
    </w:p>
    <w:p>
      <w:pPr>
        <w:spacing w:before="80" w:after="80"/>
      </w:pPr>
    </w:p>
    <w:p>
      <w:pPr>
        <w:pStyle w:val="Heading2"/>
        <w:spacing w:before="300" w:after="150"/>
      </w:pPr>
      <w:r>
        <w:rPr>
          <w:rFonts w:ascii="Georgia" w:cs="Georgia" w:eastAsia="Georgia" w:hAnsi="Georgia"/>
          <w:b/>
          <w:bCs/>
          <w:color w:val="3D5A80"/>
          <w:sz w:val="26"/>
          <w:szCs w:val="26"/>
        </w:rPr>
        <w:t xml:space="preserve">Stage 3: Constrained Proof Search</w:t>
      </w:r>
    </w:p>
    <w:p>
      <w:pPr>
        <w:spacing w:after="160" w:line="300"/>
      </w:pPr>
      <w:r>
        <w:rPr>
          <w:rFonts w:ascii="Georgia" w:cs="Georgia" w:eastAsia="Georgia" w:hAnsi="Georgia"/>
          <w:i/>
          <w:iCs/>
          <w:color w:val="666666"/>
          <w:sz w:val="22"/>
          <w:szCs w:val="22"/>
        </w:rPr>
        <w:t xml:space="preserve">Timeline: 12–24 months. Requires integration with Lean 4 and a language model.</w:t>
      </w:r>
    </w:p>
    <w:p>
      <w:pPr>
        <w:spacing w:after="160" w:line="300"/>
      </w:pPr>
      <w:r>
        <w:rPr>
          <w:rFonts w:ascii="Georgia" w:cs="Georgia" w:eastAsia="Georgia" w:hAnsi="Georgia"/>
          <w:color w:val="000000"/>
          <w:sz w:val="22"/>
          <w:szCs w:val="22"/>
        </w:rPr>
        <w:t xml:space="preserve">This stage integrates CRMlint with the Lean 4 proof assistant. The architecture:</w:t>
      </w:r>
    </w:p>
    <w:p>
      <w:pPr>
        <w:pStyle w:val="ListParagraph"/>
        <w:numPr>
          <w:ilvl w:val="0"/>
          <w:numId w:val="3"/>
        </w:numPr>
        <w:spacing w:after="100" w:line="280"/>
      </w:pPr>
      <w:r>
        <w:rPr>
          <w:rFonts w:ascii="Georgia" w:cs="Georgia" w:eastAsia="Georgia" w:hAnsi="Georgia"/>
          <w:sz w:val="22"/>
          <w:szCs w:val="22"/>
        </w:rPr>
        <w:t xml:space="preserve">The user states a theorem in Lean 4 and declares a target CRM signature.</w:t>
      </w:r>
    </w:p>
    <w:p>
      <w:pPr>
        <w:pStyle w:val="ListParagraph"/>
        <w:numPr>
          <w:ilvl w:val="0"/>
          <w:numId w:val="3"/>
        </w:numPr>
        <w:spacing w:after="100" w:line="280"/>
      </w:pPr>
      <w:r>
        <w:rPr>
          <w:rFonts w:ascii="Georgia" w:cs="Georgia" w:eastAsia="Georgia" w:hAnsi="Georgia"/>
          <w:sz w:val="22"/>
          <w:szCs w:val="22"/>
        </w:rPr>
        <w:t xml:space="preserve">A language model (Claude or equivalent) proposes proof strategies, drawing on Mathlib and the substitution database.</w:t>
      </w:r>
    </w:p>
    <w:p>
      <w:pPr>
        <w:pStyle w:val="ListParagraph"/>
        <w:numPr>
          <w:ilvl w:val="0"/>
          <w:numId w:val="3"/>
        </w:numPr>
        <w:spacing w:after="100" w:line="280"/>
      </w:pPr>
      <w:r>
        <w:rPr>
          <w:rFonts w:ascii="Georgia" w:cs="Georgia" w:eastAsia="Georgia" w:hAnsi="Georgia"/>
          <w:sz w:val="22"/>
          <w:szCs w:val="22"/>
        </w:rPr>
        <w:t xml:space="preserve">Lean 4 verifies each proposed step.</w:t>
      </w:r>
    </w:p>
    <w:p>
      <w:pPr>
        <w:pStyle w:val="ListParagraph"/>
        <w:numPr>
          <w:ilvl w:val="0"/>
          <w:numId w:val="3"/>
        </w:numPr>
        <w:spacing w:after="100" w:line="280"/>
      </w:pPr>
      <w:r>
        <w:rPr>
          <w:rFonts w:ascii="Georgia" w:cs="Georgia" w:eastAsia="Georgia" w:hAnsi="Georgia"/>
          <w:sz w:val="22"/>
          <w:szCs w:val="22"/>
        </w:rPr>
        <w:t xml:space="preserve">CRMlint evaluates the CRM cost of each verified step. Steps exceeding the target signature are rejected, and the language model is prompted to find alternatives.</w:t>
      </w:r>
    </w:p>
    <w:p>
      <w:pPr>
        <w:pStyle w:val="ListParagraph"/>
        <w:numPr>
          <w:ilvl w:val="0"/>
          <w:numId w:val="3"/>
        </w:numPr>
        <w:spacing w:after="100" w:line="280"/>
      </w:pPr>
      <w:r>
        <w:rPr>
          <w:rFonts w:ascii="Georgia" w:cs="Georgia" w:eastAsia="Georgia" w:hAnsi="Georgia"/>
          <w:sz w:val="22"/>
          <w:szCs w:val="22"/>
        </w:rPr>
        <w:t xml:space="preserve">The calibration theorems from Paper 98 serve as termination oracles: if the target signature is below the proven floor for the theorem, the search halts with a proof of impossibility.</w:t>
      </w:r>
    </w:p>
    <w:p>
      <w:pPr>
        <w:spacing w:before="200" w:after="100"/>
      </w:pPr>
      <w:r>
        <w:rPr>
          <w:rFonts w:ascii="Georgia" w:cs="Georgia" w:eastAsia="Georgia" w:hAnsi="Georgia"/>
          <w:b/>
          <w:bCs/>
          <w:color w:val="E07A3A"/>
          <w:sz w:val="22"/>
          <w:szCs w:val="22"/>
        </w:rPr>
        <w:t xml:space="preserve">Critical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80" w:sz="1"/>
              <w:left w:val="single" w:color="E07A3A" w:sz="8"/>
              <w:bottom w:val="single" w:color="3D5A80" w:sz="1"/>
              <w:right w:val="single" w:color="3D5A80" w:sz="1"/>
            </w:tcBorders>
            <w:shd w:fill="F0F4F8" w:val="clear"/>
            <w:tcMar>
              <w:top w:type="dxa" w:w="160"/>
              <w:left w:type="dxa" w:w="200"/>
              <w:bottom w:type="dxa" w:w="160"/>
              <w:right w:type="dxa" w:w="200"/>
            </w:tcMar>
          </w:tcPr>
          <w:p>
            <w:pPr>
              <w:spacing w:after="160" w:line="300"/>
            </w:pPr>
            <w:r>
              <w:rPr>
                <w:rFonts w:ascii="Georgia" w:cs="Georgia" w:eastAsia="Georgia" w:hAnsi="Georgia"/>
                <w:color w:val="000000"/>
                <w:sz w:val="22"/>
                <w:szCs w:val="22"/>
              </w:rPr>
              <w:t xml:space="preserve">The calibration theorems are as important as the search algorithm. Without negative results (WLPO is the floor for generic Hodge detection; CLASS is the floor for Sha finiteness), the constrained search would waste unbounded resources on provably impossible targets. The CRM programme’s calibration theorems are the termination conditions.</w:t>
            </w:r>
          </w:p>
        </w:tc>
      </w:tr>
    </w:tbl>
    <w:p>
      <w:pPr>
        <w:pStyle w:val="Heading1"/>
        <w:spacing w:before="400" w:after="200"/>
      </w:pPr>
      <w:r>
        <w:rPr>
          <w:rFonts w:ascii="Georgia" w:cs="Georgia" w:eastAsia="Georgia" w:hAnsi="Georgia"/>
          <w:b/>
          <w:bCs/>
          <w:color w:val="1B2A4A"/>
          <w:sz w:val="32"/>
          <w:szCs w:val="32"/>
        </w:rPr>
        <w:t xml:space="preserve">4. The Axiom Interface Problem</w:t>
      </w:r>
    </w:p>
    <w:p>
      <w:pPr>
        <w:spacing w:after="160" w:line="300"/>
      </w:pPr>
      <w:r>
        <w:rPr>
          <w:rFonts w:ascii="Georgia" w:cs="Georgia" w:eastAsia="Georgia" w:hAnsi="Georgia"/>
          <w:color w:val="000000"/>
          <w:sz w:val="22"/>
          <w:szCs w:val="22"/>
        </w:rPr>
        <w:t xml:space="preserve">The companion Lean 4 formalization of Paper 98 represents geometric realization functors as axiomatic stubs. A skeptical reader will ask: does the formalization assume what it claims to prove?</w:t>
      </w:r>
    </w:p>
    <w:p>
      <w:pPr>
        <w:spacing w:after="160" w:line="300"/>
      </w:pPr>
      <w:r>
        <w:rPr>
          <w:rFonts w:ascii="Georgia" w:cs="Georgia" w:eastAsia="Georgia" w:hAnsi="Georgia"/>
          <w:color w:val="000000"/>
          <w:sz w:val="22"/>
          <w:szCs w:val="22"/>
        </w:rPr>
        <w:t xml:space="preserve">The answer depends on the axiom interface. The correct design axiomatizes mathematical content, not logical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Axiom Type</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Example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Mathematical content (correct)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Étale cohomology of smooth projective varieties yields finitely generated modules with bounded torsion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Independently verifiable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Logical conclusion (circular)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The étale realization is BISH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Assumes the result</w:t>
            </w:r>
          </w:p>
        </w:tc>
      </w:tr>
    </w:tbl>
    <w:p>
      <w:pPr>
        <w:spacing w:before="80" w:after="80"/>
      </w:pPr>
    </w:p>
    <w:p>
      <w:pPr>
        <w:spacing w:after="160" w:line="300"/>
      </w:pPr>
      <w:r>
        <w:rPr>
          <w:rFonts w:ascii="Georgia" w:cs="Georgia" w:eastAsia="Georgia" w:hAnsi="Georgia"/>
          <w:color w:val="000000"/>
          <w:sz w:val="22"/>
          <w:szCs w:val="22"/>
        </w:rPr>
        <w:t xml:space="preserve">For CRMlint to function as a trustworthy tool, its axiom interface must consist exclusively of mathematical content axioms. The CRM signature should be derived by the tool, never assumed. Paper 99 (below) should include a complete specification of the axiom interface, with independent verifiability arguments for each axiom.</w:t>
      </w:r>
    </w:p>
    <w:p>
      <w:pPr>
        <w:pStyle w:val="Heading1"/>
        <w:spacing w:before="400" w:after="200"/>
      </w:pPr>
      <w:r>
        <w:rPr>
          <w:rFonts w:ascii="Georgia" w:cs="Georgia" w:eastAsia="Georgia" w:hAnsi="Georgia"/>
          <w:b/>
          <w:bCs/>
          <w:color w:val="1B2A4A"/>
          <w:sz w:val="32"/>
          <w:szCs w:val="32"/>
        </w:rPr>
        <w:t xml:space="preserve">5. Paper 99: CRMlint as a Proof-Engineering Tool</w:t>
      </w:r>
    </w:p>
    <w:p>
      <w:pPr>
        <w:spacing w:after="160" w:line="300"/>
      </w:pPr>
      <w:r>
        <w:rPr>
          <w:rFonts w:ascii="Georgia" w:cs="Georgia" w:eastAsia="Georgia" w:hAnsi="Georgia"/>
          <w:i/>
          <w:iCs/>
          <w:color w:val="666666"/>
          <w:sz w:val="22"/>
          <w:szCs w:val="22"/>
        </w:rPr>
        <w:t xml:space="preserve">Proposed scope and structure for the next paper in the CRM programme.</w:t>
      </w:r>
    </w:p>
    <w:p>
      <w:pPr>
        <w:pStyle w:val="Heading2"/>
        <w:spacing w:before="300" w:after="150"/>
      </w:pPr>
      <w:r>
        <w:rPr>
          <w:rFonts w:ascii="Georgia" w:cs="Georgia" w:eastAsia="Georgia" w:hAnsi="Georgia"/>
          <w:b/>
          <w:bCs/>
          <w:color w:val="3D5A80"/>
          <w:sz w:val="26"/>
          <w:szCs w:val="26"/>
        </w:rPr>
        <w:t xml:space="preserve">5.1 Thesis</w:t>
      </w:r>
    </w:p>
    <w:p>
      <w:pPr>
        <w:spacing w:after="160" w:line="300"/>
      </w:pPr>
      <w:r>
        <w:rPr>
          <w:rFonts w:ascii="Georgia" w:cs="Georgia" w:eastAsia="Georgia" w:hAnsi="Georgia"/>
          <w:color w:val="000000"/>
          <w:sz w:val="22"/>
          <w:szCs w:val="22"/>
        </w:rPr>
        <w:t xml:space="preserve">The CRM signature is a computable, meaningful, and actionable invariant of mathematical proofs. By inverting the diagnostic framework of Papers 50–98—from classifying existing proofs to constraining the search for new ones—CRMlint becomes a proof-engineering tool that systematically identifies opportunities for logical simplification.</w:t>
      </w:r>
    </w:p>
    <w:p>
      <w:pPr>
        <w:pStyle w:val="Heading2"/>
        <w:spacing w:before="300" w:after="150"/>
      </w:pPr>
      <w:r>
        <w:rPr>
          <w:rFonts w:ascii="Georgia" w:cs="Georgia" w:eastAsia="Georgia" w:hAnsi="Georgia"/>
          <w:b/>
          <w:bCs/>
          <w:color w:val="3D5A80"/>
          <w:sz w:val="26"/>
          <w:szCs w:val="26"/>
        </w:rPr>
        <w:t xml:space="preserve">5.2 Structure</w:t>
      </w:r>
    </w:p>
    <w:p>
      <w:pPr>
        <w:pStyle w:val="ListParagraph"/>
        <w:numPr>
          <w:ilvl w:val="0"/>
          <w:numId w:val="4"/>
        </w:numPr>
        <w:spacing w:after="100" w:line="280"/>
      </w:pPr>
      <w:r>
        <w:rPr>
          <w:rFonts w:ascii="Georgia" w:cs="Georgia" w:eastAsia="Georgia" w:hAnsi="Georgia"/>
          <w:b/>
          <w:bCs/>
          <w:sz w:val="22"/>
          <w:szCs w:val="22"/>
        </w:rPr>
        <w:t xml:space="preserve">The substitution calculus. </w:t>
      </w:r>
      <w:r>
        <w:rPr>
          <w:rFonts w:ascii="Georgia" w:cs="Georgia" w:eastAsia="Georgia" w:hAnsi="Georgia"/>
          <w:sz w:val="22"/>
          <w:szCs w:val="22"/>
        </w:rPr>
        <w:t xml:space="preserve">Formal definition of CRM-reducing substitutions, their composition, and their applicability conditions. Prove that the substitution relation is well-founded (no infinite chains of reductions).</w:t>
      </w:r>
    </w:p>
    <w:p>
      <w:pPr>
        <w:pStyle w:val="ListParagraph"/>
        <w:numPr>
          <w:ilvl w:val="0"/>
          <w:numId w:val="4"/>
        </w:numPr>
        <w:spacing w:after="100" w:line="280"/>
      </w:pPr>
      <w:r>
        <w:rPr>
          <w:rFonts w:ascii="Georgia" w:cs="Georgia" w:eastAsia="Georgia" w:hAnsi="Georgia"/>
          <w:b/>
          <w:bCs/>
          <w:sz w:val="22"/>
          <w:szCs w:val="22"/>
        </w:rPr>
        <w:t xml:space="preserve">The substitution database. </w:t>
      </w:r>
      <w:r>
        <w:rPr>
          <w:rFonts w:ascii="Georgia" w:cs="Georgia" w:eastAsia="Georgia" w:hAnsi="Georgia"/>
          <w:sz w:val="22"/>
          <w:szCs w:val="22"/>
        </w:rPr>
        <w:t xml:space="preserve">Systematic extraction of all CRM-reducing substitutions identified across Papers 50–97. Each entry formalized in Lean 4 with type-checked applicability conditions.</w:t>
      </w:r>
    </w:p>
    <w:p>
      <w:pPr>
        <w:pStyle w:val="ListParagraph"/>
        <w:numPr>
          <w:ilvl w:val="0"/>
          <w:numId w:val="4"/>
        </w:numPr>
        <w:spacing w:after="100" w:line="280"/>
      </w:pPr>
      <w:r>
        <w:rPr>
          <w:rFonts w:ascii="Georgia" w:cs="Georgia" w:eastAsia="Georgia" w:hAnsi="Georgia"/>
          <w:b/>
          <w:bCs/>
          <w:sz w:val="22"/>
          <w:szCs w:val="22"/>
        </w:rPr>
        <w:t xml:space="preserve">The obstruction detector. </w:t>
      </w:r>
      <w:r>
        <w:rPr>
          <w:rFonts w:ascii="Georgia" w:cs="Georgia" w:eastAsia="Georgia" w:hAnsi="Georgia"/>
          <w:sz w:val="22"/>
          <w:szCs w:val="22"/>
        </w:rPr>
        <w:t xml:space="preserve">Algorithm for bottleneck localization in proof paths. Prove correctness: every flagged bottleneck is genuine (soundness), and every removable bottleneck is flagged (completeness, relative to the substitution database).</w:t>
      </w:r>
    </w:p>
    <w:p>
      <w:pPr>
        <w:pStyle w:val="ListParagraph"/>
        <w:numPr>
          <w:ilvl w:val="0"/>
          <w:numId w:val="4"/>
        </w:numPr>
        <w:spacing w:after="100" w:line="280"/>
      </w:pPr>
      <w:r>
        <w:rPr>
          <w:rFonts w:ascii="Georgia" w:cs="Georgia" w:eastAsia="Georgia" w:hAnsi="Georgia"/>
          <w:b/>
          <w:bCs/>
          <w:sz w:val="22"/>
          <w:szCs w:val="22"/>
        </w:rPr>
        <w:t xml:space="preserve">The constrained search protocol. </w:t>
      </w:r>
      <w:r>
        <w:rPr>
          <w:rFonts w:ascii="Georgia" w:cs="Georgia" w:eastAsia="Georgia" w:hAnsi="Georgia"/>
          <w:sz w:val="22"/>
          <w:szCs w:val="22"/>
        </w:rPr>
        <w:t xml:space="preserve">Integration with Lean 4. Formal specification of the signature constraint as a tactic filter. Termination guarantees via calibration theorems.</w:t>
      </w:r>
    </w:p>
    <w:p>
      <w:pPr>
        <w:pStyle w:val="ListParagraph"/>
        <w:numPr>
          <w:ilvl w:val="0"/>
          <w:numId w:val="4"/>
        </w:numPr>
        <w:spacing w:after="100" w:line="280"/>
      </w:pPr>
      <w:r>
        <w:rPr>
          <w:rFonts w:ascii="Georgia" w:cs="Georgia" w:eastAsia="Georgia" w:hAnsi="Georgia"/>
          <w:b/>
          <w:bCs/>
          <w:sz w:val="22"/>
          <w:szCs w:val="22"/>
        </w:rPr>
        <w:t xml:space="preserve">Case studies. </w:t>
      </w:r>
      <w:r>
        <w:rPr>
          <w:rFonts w:ascii="Georgia" w:cs="Georgia" w:eastAsia="Georgia" w:hAnsi="Georgia"/>
          <w:sz w:val="22"/>
          <w:szCs w:val="22"/>
        </w:rPr>
        <w:t xml:space="preserve">Apply the full pipeline to three theorems: (a) a theorem where the tool rediscovers a known simplification (TW patching); (b) a theorem where the tool identifies a new simplification not previously observed; (c) a theorem where the tool correctly identifies that no simplification exists (Sha finiteness).</w:t>
      </w:r>
    </w:p>
    <w:p>
      <w:pPr>
        <w:pStyle w:val="ListParagraph"/>
        <w:numPr>
          <w:ilvl w:val="0"/>
          <w:numId w:val="4"/>
        </w:numPr>
        <w:spacing w:after="100" w:line="280"/>
      </w:pPr>
      <w:r>
        <w:rPr>
          <w:rFonts w:ascii="Georgia" w:cs="Georgia" w:eastAsia="Georgia" w:hAnsi="Georgia"/>
          <w:b/>
          <w:bCs/>
          <w:sz w:val="22"/>
          <w:szCs w:val="22"/>
        </w:rPr>
        <w:t xml:space="preserve">The axiom interface. </w:t>
      </w:r>
      <w:r>
        <w:rPr>
          <w:rFonts w:ascii="Georgia" w:cs="Georgia" w:eastAsia="Georgia" w:hAnsi="Georgia"/>
          <w:sz w:val="22"/>
          <w:szCs w:val="22"/>
        </w:rPr>
        <w:t xml:space="preserve">Complete specification of all axiomatic stubs in the Lean formalization. Independent verifiability argument for each.</w:t>
      </w:r>
    </w:p>
    <w:p>
      <w:pPr>
        <w:pStyle w:val="Heading2"/>
        <w:spacing w:before="300" w:after="150"/>
      </w:pPr>
      <w:r>
        <w:rPr>
          <w:rFonts w:ascii="Georgia" w:cs="Georgia" w:eastAsia="Georgia" w:hAnsi="Georgia"/>
          <w:b/>
          <w:bCs/>
          <w:color w:val="3D5A80"/>
          <w:sz w:val="26"/>
          <w:szCs w:val="26"/>
        </w:rPr>
        <w:t xml:space="preserve">5.3 The Critical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80" w:sz="1"/>
              <w:left w:val="single" w:color="E07A3A" w:sz="8"/>
              <w:bottom w:val="single" w:color="3D5A80" w:sz="1"/>
              <w:right w:val="single" w:color="3D5A80" w:sz="1"/>
            </w:tcBorders>
            <w:shd w:fill="F0F4F8" w:val="clear"/>
            <w:tcMar>
              <w:top w:type="dxa" w:w="160"/>
              <w:left w:type="dxa" w:w="200"/>
              <w:bottom w:type="dxa" w:w="160"/>
              <w:right w:type="dxa" w:w="200"/>
            </w:tcMar>
          </w:tcPr>
          <w:p>
            <w:pPr>
              <w:spacing w:after="160" w:line="300"/>
            </w:pPr>
            <w:r>
              <w:rPr>
                <w:rFonts w:ascii="Georgia" w:cs="Georgia" w:eastAsia="Georgia" w:hAnsi="Georgia"/>
                <w:color w:val="000000"/>
                <w:sz w:val="22"/>
                <w:szCs w:val="22"/>
              </w:rPr>
              <w:t xml:space="preserve">Paper 99 must contain at least one genuinely new result: a CRM-reducing substitution for a theorem in arithmetic geometry that was not previously known, discovered by applying the CRMlint pipeline. Without this, the paper describes a tool; with it, the paper demonstrates a method.</w:t>
            </w:r>
          </w:p>
        </w:tc>
      </w:tr>
    </w:tbl>
    <w:p>
      <w:pPr>
        <w:pStyle w:val="Heading2"/>
        <w:spacing w:before="300" w:after="150"/>
      </w:pPr>
      <w:r>
        <w:rPr>
          <w:rFonts w:ascii="Georgia" w:cs="Georgia" w:eastAsia="Georgia" w:hAnsi="Georgia"/>
          <w:b/>
          <w:bCs/>
          <w:color w:val="3D5A80"/>
          <w:sz w:val="26"/>
          <w:szCs w:val="26"/>
        </w:rPr>
        <w:t xml:space="preserve">5.4 Candidate Targets</w:t>
      </w:r>
    </w:p>
    <w:p>
      <w:pPr>
        <w:spacing w:after="160" w:line="300"/>
      </w:pPr>
      <w:r>
        <w:rPr>
          <w:rFonts w:ascii="Georgia" w:cs="Georgia" w:eastAsia="Georgia" w:hAnsi="Georgia"/>
          <w:color w:val="000000"/>
          <w:sz w:val="22"/>
          <w:szCs w:val="22"/>
        </w:rPr>
        <w:t xml:space="preserve">The following theorems are candidates for CRMlint-guided simplification, ordered by estimated feasibility:</w:t>
      </w:r>
    </w:p>
    <w:p>
      <w:pPr>
        <w:pStyle w:val="ListParagraph"/>
        <w:numPr>
          <w:ilvl w:val="0"/>
          <w:numId w:val="2"/>
        </w:numPr>
        <w:spacing w:after="100" w:line="280"/>
      </w:pPr>
      <w:r>
        <w:rPr>
          <w:rFonts w:ascii="Georgia" w:cs="Georgia" w:eastAsia="Georgia" w:hAnsi="Georgia"/>
          <w:b/>
          <w:bCs/>
          <w:sz w:val="22"/>
          <w:szCs w:val="22"/>
        </w:rPr>
        <w:t xml:space="preserve">Serre’s modularity conjecture (Khare–Wintenberger). </w:t>
      </w:r>
      <w:r>
        <w:rPr>
          <w:rFonts w:ascii="Georgia" w:cs="Georgia" w:eastAsia="Georgia" w:hAnsi="Georgia"/>
          <w:sz w:val="22"/>
          <w:szCs w:val="22"/>
        </w:rPr>
        <w:t xml:space="preserve">The proof uses the trace formula at the base case. Can the base case be replaced by a purely algebraic argument for specific residual representations?</w:t>
      </w:r>
    </w:p>
    <w:p>
      <w:pPr>
        <w:pStyle w:val="ListParagraph"/>
        <w:numPr>
          <w:ilvl w:val="0"/>
          <w:numId w:val="2"/>
        </w:numPr>
        <w:spacing w:after="100" w:line="280"/>
      </w:pPr>
      <w:r>
        <w:rPr>
          <w:rFonts w:ascii="Georgia" w:cs="Georgia" w:eastAsia="Georgia" w:hAnsi="Georgia"/>
          <w:b/>
          <w:bCs/>
          <w:sz w:val="22"/>
          <w:szCs w:val="22"/>
        </w:rPr>
        <w:t xml:space="preserve">The p-adic Langlands correspondence. </w:t>
      </w:r>
      <w:r>
        <w:rPr>
          <w:rFonts w:ascii="Georgia" w:cs="Georgia" w:eastAsia="Georgia" w:hAnsi="Georgia"/>
          <w:sz w:val="22"/>
          <w:szCs w:val="22"/>
        </w:rPr>
        <w:t xml:space="preserve">The Archimedean Obstruction Thesis predicts this should be BISH. If the current proofs route through Archimedean comparisons unnecessarily, CRMlint should detect and flag the detour.</w:t>
      </w:r>
    </w:p>
    <w:p>
      <w:pPr>
        <w:pStyle w:val="ListParagraph"/>
        <w:numPr>
          <w:ilvl w:val="0"/>
          <w:numId w:val="2"/>
        </w:numPr>
        <w:spacing w:after="100" w:line="280"/>
      </w:pPr>
      <w:r>
        <w:rPr>
          <w:rFonts w:ascii="Georgia" w:cs="Georgia" w:eastAsia="Georgia" w:hAnsi="Georgia"/>
          <w:b/>
          <w:bCs/>
          <w:sz w:val="22"/>
          <w:szCs w:val="22"/>
        </w:rPr>
        <w:t xml:space="preserve">Gross–Zagier for higher-weight modular forms. </w:t>
      </w:r>
      <w:r>
        <w:rPr>
          <w:rFonts w:ascii="Georgia" w:cs="Georgia" w:eastAsia="Georgia" w:hAnsi="Georgia"/>
          <w:sz w:val="22"/>
          <w:szCs w:val="22"/>
        </w:rPr>
        <w:t xml:space="preserve">The original Gross–Zagier formula involves the Petersson inner product (CLASS). A p-adic analogue (Bertolini–Darmon–Prasanna) avoids this. CRMlint should identify the substitution and verify the signature reduction.</w:t>
      </w:r>
    </w:p>
    <w:p>
      <w:pPr>
        <w:pStyle w:val="ListParagraph"/>
        <w:numPr>
          <w:ilvl w:val="0"/>
          <w:numId w:val="2"/>
        </w:numPr>
        <w:spacing w:after="100" w:line="280"/>
      </w:pPr>
      <w:r>
        <w:rPr>
          <w:rFonts w:ascii="Georgia" w:cs="Georgia" w:eastAsia="Georgia" w:hAnsi="Georgia"/>
          <w:b/>
          <w:bCs/>
          <w:sz w:val="22"/>
          <w:szCs w:val="22"/>
        </w:rPr>
        <w:t xml:space="preserve">Positive mass theorem (specific metrics). </w:t>
      </w:r>
      <w:r>
        <w:rPr>
          <w:rFonts w:ascii="Georgia" w:cs="Georgia" w:eastAsia="Georgia" w:hAnsi="Georgia"/>
          <w:sz w:val="22"/>
          <w:szCs w:val="22"/>
        </w:rPr>
        <w:t xml:space="preserve">Paper 98 conjectures that for explicit metrics, the positive mass inequality is BISH. CRMlint could test this by analyzing Schoen–Yau for Schwarzschild and Kerr.</w:t>
      </w:r>
    </w:p>
    <w:p>
      <w:pPr>
        <w:pStyle w:val="Heading1"/>
        <w:spacing w:before="400" w:after="200"/>
      </w:pPr>
      <w:r>
        <w:rPr>
          <w:rFonts w:ascii="Georgia" w:cs="Georgia" w:eastAsia="Georgia" w:hAnsi="Georgia"/>
          <w:b/>
          <w:bCs/>
          <w:color w:val="1B2A4A"/>
          <w:sz w:val="32"/>
          <w:szCs w:val="32"/>
        </w:rPr>
        <w:t xml:space="preserve">6. Long-Term Vision: Intrinsic Logical Complexity</w:t>
      </w:r>
    </w:p>
    <w:p>
      <w:pPr>
        <w:spacing w:after="160" w:line="300"/>
      </w:pPr>
      <w:r>
        <w:rPr>
          <w:rFonts w:ascii="Georgia" w:cs="Georgia" w:eastAsia="Georgia" w:hAnsi="Georgia"/>
          <w:color w:val="000000"/>
          <w:sz w:val="22"/>
          <w:szCs w:val="22"/>
        </w:rPr>
        <w:t xml:space="preserve">Beyond proof engineering, the CRM programme points toward a deeper invariant: the intrinsic logical complexity of mathematical theorems. The CRM signature of a proof is a property of the proof path. The intrinsic CRM signature of a theorem is the infimum over all proof paths. The calibration theorems of Paper 98 compute this infimum for specific theorems (WLPO for Hodge detection, WKL for TW patching, CLASS for Sha finiteness).</w:t>
      </w:r>
    </w:p>
    <w:p>
      <w:pPr>
        <w:spacing w:after="160" w:line="300"/>
      </w:pPr>
      <w:r>
        <w:rPr>
          <w:rFonts w:ascii="Georgia" w:cs="Georgia" w:eastAsia="Georgia" w:hAnsi="Georgia"/>
          <w:color w:val="000000"/>
          <w:sz w:val="22"/>
          <w:szCs w:val="22"/>
        </w:rPr>
        <w:t xml:space="preserve">If this infimum could be computed systematically—even for restricted classes of theorems—it would constitute a new classification of mathematical knowledge by logical depth. This classification would be orthogonal to existing taxonomies (by subject, by difficulty, by proof technique) and would capture something genuinely structural: the minimal logical resources required to establish a mathematical fact.</w:t>
      </w:r>
    </w:p>
    <w:p>
      <w:pPr>
        <w:spacing w:after="160" w:line="300"/>
      </w:pPr>
      <w:r>
        <w:rPr>
          <w:rFonts w:ascii="Georgia" w:cs="Georgia" w:eastAsia="Georgia" w:hAnsi="Georgia"/>
          <w:color w:val="000000"/>
          <w:sz w:val="22"/>
          <w:szCs w:val="22"/>
        </w:rPr>
        <w:t xml:space="preserve">The CRM programme has produced the first examples of such a classification. The motivic architecture of Paper 98 provides the theoretical framework. CRMlint, in its mature form, would be the computational engine. The combination—a structural theory of logical complexity, verified by machine, applied to the deepest theorems of arithmetic geometry—would be a contribution to the foundations of mathematics unlike any currently existing.</w:t>
      </w:r>
    </w:p>
    <w:p>
      <w:pPr>
        <w:pBdr>
          <w:bottom w:val="single" w:color="CCCCCC" w:sz="2" w:space="8"/>
        </w:pBdr>
        <w:spacing w:before="200" w:after="200"/>
      </w:pPr>
    </w:p>
    <w:p>
      <w:pPr>
        <w:spacing w:before="100" w:after="100"/>
      </w:pPr>
    </w:p>
    <w:p>
      <w:pPr>
        <w:pStyle w:val="Heading1"/>
        <w:spacing w:before="400" w:after="200"/>
      </w:pPr>
      <w:r>
        <w:rPr>
          <w:rFonts w:ascii="Georgia" w:cs="Georgia" w:eastAsia="Georgia" w:hAnsi="Georgia"/>
          <w:b/>
          <w:bCs/>
          <w:color w:val="1B2A4A"/>
          <w:sz w:val="32"/>
          <w:szCs w:val="32"/>
        </w:rPr>
        <w:t xml:space="preserve">Appendix: Summary of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Depends On</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Paper 98 (Motivic CRM Architecture)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Papers 50–97, Lean 4 formalization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 revision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Substitution database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Systematic extraction from Papers 50–97</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To begin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CRMlint v2 (obstruction detector)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Current CRMlint + annotation language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Design phase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Substitution engine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Substitution database + CRMlint v2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Planned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Constrained proof search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Lean 4 integration + LM + CRMlint v2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Speculative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Paper 99</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Substitution database + at least one new result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Planned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666666"/>
        <w:sz w:val="18"/>
        <w:szCs w:val="18"/>
      </w:rPr>
      <w:t xml:space="preserve">Paul Chun-Kit Lee — March 2026 — 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8"/>
        <w:szCs w:val="18"/>
      </w:rPr>
      <w:t xml:space="preserve">CRM Programme — Roadmap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B2A4A"/>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2026-03-01T16:53:19.283Z</dcterms:created>
  <dcterms:modified xsi:type="dcterms:W3CDTF">2026-03-01T16:53:19.284Z</dcterms:modified>
</cp:coreProperties>
</file>

<file path=docProps/custom.xml><?xml version="1.0" encoding="utf-8"?>
<Properties xmlns="http://schemas.openxmlformats.org/officeDocument/2006/custom-properties" xmlns:vt="http://schemas.openxmlformats.org/officeDocument/2006/docPropsVTypes"/>
</file>