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500"/>
      </w:pPr>
    </w:p>
    <w:p>
      <w:pPr>
        <w:spacing w:after="80"/>
        <w:jc w:val="center"/>
      </w:pPr>
      <w:r>
        <w:rPr>
          <w:rFonts w:ascii="Georgia" w:cs="Georgia" w:eastAsia="Georgia" w:hAnsi="Georgia"/>
          <w:b/>
          <w:bCs/>
          <w:color w:val="1B2A4A"/>
          <w:sz w:val="56"/>
          <w:szCs w:val="56"/>
        </w:rPr>
        <w:t xml:space="preserve">CRMlint</w:t>
      </w:r>
    </w:p>
    <w:p>
      <w:pPr>
        <w:spacing w:after="60"/>
        <w:jc w:val="center"/>
      </w:pPr>
      <w:r>
        <w:rPr>
          <w:rFonts w:ascii="Georgia" w:cs="Georgia" w:eastAsia="Georgia" w:hAnsi="Georgia"/>
          <w:color w:val="3D5A80"/>
          <w:sz w:val="34"/>
          <w:szCs w:val="34"/>
        </w:rPr>
        <w:t xml:space="preserve">Proof Structure &amp; Complexity Analysis</w:t>
      </w:r>
    </w:p>
    <w:p>
      <w:pPr>
        <w:spacing w:after="300"/>
        <w:jc w:val="center"/>
      </w:pPr>
      <w:r>
        <w:rPr>
          <w:rFonts w:ascii="Georgia" w:cs="Georgia" w:eastAsia="Georgia" w:hAnsi="Georgia"/>
          <w:i/>
          <w:iCs/>
          <w:color w:val="666666"/>
          <w:sz w:val="24"/>
          <w:szCs w:val="24"/>
        </w:rPr>
        <w:t xml:space="preserve">Automated Three-Axis Profiling of Formalized Mathematics</w:t>
      </w:r>
    </w:p>
    <w:p>
      <w:pPr>
        <w:pBdr>
          <w:bottom w:val="single" w:color="CCCCCC" w:sz="2" w:space="8"/>
        </w:pBdr>
        <w:spacing w:before="200" w:after="200"/>
      </w:pPr>
    </w:p>
    <w:p>
      <w:pPr>
        <w:spacing w:after="60"/>
        <w:jc w:val="center"/>
      </w:pPr>
      <w:r>
        <w:rPr>
          <w:rFonts w:ascii="Georgia" w:cs="Georgia" w:eastAsia="Georgia" w:hAnsi="Georgia"/>
          <w:color w:val="000000"/>
          <w:sz w:val="24"/>
          <w:szCs w:val="24"/>
        </w:rPr>
        <w:t xml:space="preserve">Paul Chun-Kit Lee</w:t>
      </w:r>
    </w:p>
    <w:p>
      <w:pPr>
        <w:spacing w:after="60"/>
        <w:jc w:val="center"/>
      </w:pPr>
      <w:r>
        <w:rPr>
          <w:rFonts w:ascii="Georgia" w:cs="Georgia" w:eastAsia="Georgia" w:hAnsi="Georgia"/>
          <w:color w:val="666666"/>
          <w:sz w:val="22"/>
          <w:szCs w:val="22"/>
        </w:rPr>
        <w:t xml:space="preserve">March 2026</w:t>
      </w:r>
    </w:p>
    <w:p>
      <w:pPr>
        <w:spacing w:after="200"/>
        <w:jc w:val="center"/>
      </w:pPr>
      <w:r>
        <w:rPr>
          <w:rFonts w:ascii="Georgia" w:cs="Georgia" w:eastAsia="Georgia" w:hAnsi="Georgia"/>
          <w:i/>
          <w:iCs/>
          <w:color w:val="666666"/>
          <w:sz w:val="20"/>
          <w:szCs w:val="20"/>
        </w:rPr>
        <w:t xml:space="preserve">Companion to Paper 98: The Motivic CRM Architecture</w:t>
      </w:r>
    </w:p>
    <w:p>
      <w:r>
        <w:br w:type="page"/>
      </w:r>
    </w:p>
    <w:p>
      <w:pPr>
        <w:pStyle w:val="Heading1"/>
        <w:spacing w:before="400" w:after="200"/>
      </w:pPr>
      <w:r>
        <w:rPr>
          <w:rFonts w:ascii="Georgia" w:cs="Georgia" w:eastAsia="Georgia" w:hAnsi="Georgia"/>
          <w:b/>
          <w:bCs/>
          <w:color w:val="1B2A4A"/>
          <w:sz w:val="30"/>
          <w:szCs w:val="30"/>
        </w:rPr>
        <w:t xml:space="preserve">1. Executive Summary</w:t>
      </w:r>
    </w:p>
    <w:p>
      <w:pPr>
        <w:spacing w:after="160" w:line="300"/>
      </w:pPr>
      <w:r>
        <w:rPr>
          <w:rFonts w:ascii="Georgia" w:cs="Georgia" w:eastAsia="Georgia" w:hAnsi="Georgia"/>
          <w:color w:val="000000"/>
          <w:sz w:val="22"/>
          <w:szCs w:val="22"/>
        </w:rPr>
        <w:t xml:space="preserve">This report documents the design and initial validation of CRMlint’s proof structure analysis engine. Where Paper 98 provides the theoretical architecture—the CRM hierarchy, realization signatures, and the Archimedean Obstruction Thesis—this report provides the computational engine that validates and extends it. We analyze 627 declarations across 10 Mathlib files spanning eight mathematical domains, computing a seven-dimensional invariant vector for each proof that captures its logical, structural, and architectural properties simultaneously.</w:t>
      </w:r>
    </w:p>
    <w:p>
      <w:pPr>
        <w:spacing w:after="160" w:line="300"/>
      </w:pPr>
      <w:r>
        <w:rPr>
          <w:rFonts w:ascii="Georgia" w:cs="Georgia" w:eastAsia="Georgia" w:hAnsi="Georgia"/>
          <w:color w:val="000000"/>
          <w:sz w:val="22"/>
          <w:szCs w:val="22"/>
        </w:rPr>
        <w:t xml:space="preserve">The central finding is that Archimedean proofs are structurally different from non-Archimedean proofs along every measured axis, not just CRM level. They are 1.7× longer, have 2.8× deeper dependency chains, carry 2.2× more active hypotheses, cite 4.3× more external lemmas, and—critically—have lower automation ratios. This structural signature is exactly what the Archimedean Obstruction Thesis predicts: proofs that route through the real numbers are not merely logically costlier, they are architecturally heavier, less modular, and less mechanizable.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5A80" w:sz="1"/>
              <w:left w:val="single" w:color="C06030" w:sz="8"/>
              <w:bottom w:val="single" w:color="3D5A80" w:sz="1"/>
              <w:right w:val="single" w:color="3D5A80" w:sz="1"/>
            </w:tcBorders>
            <w:shd w:fill="F0F4F8" w:val="clear"/>
            <w:tcMar>
              <w:top w:type="dxa" w:w="160"/>
              <w:left w:type="dxa" w:w="200"/>
              <w:bottom w:type="dxa" w:w="160"/>
              <w:right w:type="dxa" w:w="200"/>
            </w:tcMar>
          </w:tcPr>
          <w:p>
            <w:pPr>
              <w:spacing w:after="160" w:line="300"/>
            </w:pPr>
            <w:r>
              <w:rPr>
                <w:rFonts w:ascii="Georgia" w:cs="Georgia" w:eastAsia="Georgia" w:hAnsi="Georgia"/>
                <w:b/>
                <w:bCs/>
                <w:color w:val="1B2A4A"/>
                <w:sz w:val="22"/>
                <w:szCs w:val="22"/>
              </w:rPr>
              <w:t xml:space="preserve">Key result. </w:t>
            </w:r>
            <w:r>
              <w:rPr>
                <w:rFonts w:ascii="Georgia" w:cs="Georgia" w:eastAsia="Georgia" w:hAnsi="Georgia"/>
                <w:color w:val="000000"/>
                <w:sz w:val="22"/>
                <w:szCs w:val="22"/>
              </w:rPr>
              <w:t xml:space="preserve">96.3% of Mathlib declarations in our sample are BISH. The classical content clusters exactly where Paper 98 predicts: inner product spaces (Hilbert space = Archimedean), analytic limits (by_contra = LEM), and infinite sums (WKL = compactness). Algebraic files—ring theory, linear algebra, number theory, cyclotomic polynomials—are uniformly BISH with zero classical axiom invocations.</w:t>
            </w:r>
          </w:p>
        </w:tc>
      </w:tr>
    </w:tbl>
    <w:p>
      <w:r>
        <w:br w:type="page"/>
      </w:r>
    </w:p>
    <w:p>
      <w:pPr>
        <w:pStyle w:val="Heading1"/>
        <w:spacing w:before="400" w:after="200"/>
      </w:pPr>
      <w:r>
        <w:rPr>
          <w:rFonts w:ascii="Georgia" w:cs="Georgia" w:eastAsia="Georgia" w:hAnsi="Georgia"/>
          <w:b/>
          <w:bCs/>
          <w:color w:val="1B2A4A"/>
          <w:sz w:val="30"/>
          <w:szCs w:val="30"/>
        </w:rPr>
        <w:t xml:space="preserve">2. Methodology: Three-Axis Proof Profiling</w:t>
      </w:r>
    </w:p>
    <w:p>
      <w:pPr>
        <w:spacing w:after="160" w:line="300"/>
      </w:pPr>
      <w:r>
        <w:rPr>
          <w:rFonts w:ascii="Georgia" w:cs="Georgia" w:eastAsia="Georgia" w:hAnsi="Georgia"/>
          <w:color w:val="000000"/>
          <w:sz w:val="22"/>
          <w:szCs w:val="22"/>
        </w:rPr>
        <w:t xml:space="preserve">Existing approaches to quantifying proof structure are fragmented across communities that do not communicate. Proof complexity theory (Cook–Reckhow 1979) measures size and depth. Proof mining (Kohlenbach 2008) extracts quantitative content from classical proofs. Software metrics (McCabe 1976) compute cyclomatic complexity. The de Bruijn factor measures formalization overhead. Homotopy type theory introduces truncation levels. None of these frameworks incorporates CRM classification.</w:t>
      </w:r>
    </w:p>
    <w:p>
      <w:pPr>
        <w:spacing w:after="160" w:line="300"/>
      </w:pPr>
      <w:r>
        <w:rPr>
          <w:rFonts w:ascii="Georgia" w:cs="Georgia" w:eastAsia="Georgia" w:hAnsi="Georgia"/>
          <w:color w:val="000000"/>
          <w:sz w:val="22"/>
          <w:szCs w:val="22"/>
        </w:rPr>
        <w:t xml:space="preserve">CRMlint’s proof structure analyzer integrates these disparate traditions into a single seven-dimensional invariant vector, organized along three independent axes.</w:t>
      </w:r>
    </w:p>
    <w:p>
      <w:pPr>
        <w:pStyle w:val="Heading2"/>
        <w:spacing w:before="300" w:after="150"/>
      </w:pPr>
      <w:r>
        <w:rPr>
          <w:rFonts w:ascii="Georgia" w:cs="Georgia" w:eastAsia="Georgia" w:hAnsi="Georgia"/>
          <w:b/>
          <w:bCs/>
          <w:color w:val="3D5A80"/>
          <w:sz w:val="26"/>
          <w:szCs w:val="26"/>
        </w:rPr>
        <w:t xml:space="preserve">2.1 Axis 1: CRM Signature (Logical Cost)</w:t>
      </w:r>
    </w:p>
    <w:p>
      <w:pPr>
        <w:spacing w:after="160" w:line="300"/>
      </w:pPr>
      <w:r>
        <w:rPr>
          <w:rFonts w:ascii="Georgia" w:cs="Georgia" w:eastAsia="Georgia" w:hAnsi="Georgia"/>
          <w:color w:val="000000"/>
          <w:sz w:val="22"/>
          <w:szCs w:val="22"/>
        </w:rPr>
        <w:t xml:space="preserve">The CRM level of each declaration, computed by heuristic classification of tactic signatures, classical term patterns, and import domain signatures. Levels: BISH &lt; MP &lt; LLPO &lt; WKL &lt; WLPO &lt; LPO &lt; CLASS. This is the axis provided by Paper 98’s theoretical framework. Heuristic markers include: by_contra and Classical.em (CLASS), noncomputable declarations (WLPO), IsCompact and CompleteLattice (WKL).</w:t>
      </w:r>
    </w:p>
    <w:p>
      <w:pPr>
        <w:pStyle w:val="Heading2"/>
        <w:spacing w:before="300" w:after="150"/>
      </w:pPr>
      <w:r>
        <w:rPr>
          <w:rFonts w:ascii="Georgia" w:cs="Georgia" w:eastAsia="Georgia" w:hAnsi="Georgia"/>
          <w:b/>
          <w:bCs/>
          <w:color w:val="3D5A80"/>
          <w:sz w:val="26"/>
          <w:szCs w:val="26"/>
        </w:rPr>
        <w:t xml:space="preserve">2.2 Axis 2: Proof Complexity (Structural Cost)</w:t>
      </w:r>
    </w:p>
    <w:p>
      <w:pPr>
        <w:spacing w:after="160" w:line="300"/>
      </w:pPr>
      <w:r>
        <w:rPr>
          <w:rFonts w:ascii="Georgia" w:cs="Georgia" w:eastAsia="Georgia" w:hAnsi="Georgia"/>
          <w:color w:val="000000"/>
          <w:sz w:val="22"/>
          <w:szCs w:val="22"/>
        </w:rPr>
        <w:t xml:space="preserve">Three sub-metrics capture the structural cost of a proof. Size metrics: total lines, tactic count, term depth (approximated by indentation), de Bruijn factor estimate. Depth metrics: maximum dependency chain (have/let count), critical path length, depth variance. Width metrics: maximum active hypotheses (have + intro accumulation), case split count, independent branches, fan-in and fan-out.</w:t>
      </w:r>
    </w:p>
    <w:p>
      <w:pPr>
        <w:pStyle w:val="Heading2"/>
        <w:spacing w:before="300" w:after="150"/>
      </w:pPr>
      <w:r>
        <w:rPr>
          <w:rFonts w:ascii="Georgia" w:cs="Georgia" w:eastAsia="Georgia" w:hAnsi="Georgia"/>
          <w:b/>
          <w:bCs/>
          <w:color w:val="3D5A80"/>
          <w:sz w:val="26"/>
          <w:szCs w:val="26"/>
        </w:rPr>
        <w:t xml:space="preserve">2.3 Axis 3: Modularity and Coupling (Architectural Cost)</w:t>
      </w:r>
    </w:p>
    <w:p>
      <w:pPr>
        <w:spacing w:after="160" w:line="300"/>
      </w:pPr>
      <w:r>
        <w:rPr>
          <w:rFonts w:ascii="Georgia" w:cs="Georgia" w:eastAsia="Georgia" w:hAnsi="Georgia"/>
          <w:color w:val="000000"/>
          <w:sz w:val="22"/>
          <w:szCs w:val="22"/>
        </w:rPr>
        <w:t xml:space="preserve">Four sub-metrics capture how a proof relates to its mathematical environment. External lemma citations (qualified names extracted by regex), cyclomatic complexity (1 + case_splits + by_count), rewrite density (fraction of steps using simp/rw/ring/norm_num), and automation ratio (fraction resolved by decision procedures). The coupling score normalizes external dependencies to [0, 1].</w:t>
      </w:r>
    </w:p>
    <w:p>
      <w:pPr>
        <w:pStyle w:val="Heading2"/>
        <w:spacing w:before="300" w:after="150"/>
      </w:pPr>
      <w:r>
        <w:rPr>
          <w:rFonts w:ascii="Georgia" w:cs="Georgia" w:eastAsia="Georgia" w:hAnsi="Georgia"/>
          <w:b/>
          <w:bCs/>
          <w:color w:val="3D5A80"/>
          <w:sz w:val="26"/>
          <w:szCs w:val="26"/>
        </w:rPr>
        <w:t xml:space="preserve">2.4 The Proof Profile Vector</w:t>
      </w:r>
    </w:p>
    <w:p>
      <w:pPr>
        <w:spacing w:after="160" w:line="300"/>
      </w:pPr>
      <w:r>
        <w:rPr>
          <w:rFonts w:ascii="Georgia" w:cs="Georgia" w:eastAsia="Georgia" w:hAnsi="Georgia"/>
          <w:color w:val="000000"/>
          <w:sz w:val="22"/>
          <w:szCs w:val="22"/>
        </w:rPr>
        <w:t xml:space="preserve">The combination produces a ProofProfile: a complete fingerprint of a proof’s logical, structural, and architectural properties. The overall complexity score is a weighted combination: 40% CRM level (normalized) + 60% structural metrics (geometric mean of size, depth, width, and coupling scores). Proof types—TRIVIAL, ALGEBRAIC, COMPUTATIONAL, TOPOLOGICAL, ANALYTIC, CLASSICAL, BIFURCATING—are clusters in this seven-dimensional space.</w:t>
      </w:r>
    </w:p>
    <w:p>
      <w:r>
        <w:br w:type="page"/>
      </w:r>
    </w:p>
    <w:p>
      <w:pPr>
        <w:pStyle w:val="Heading1"/>
        <w:spacing w:before="400" w:after="200"/>
      </w:pPr>
      <w:r>
        <w:rPr>
          <w:rFonts w:ascii="Georgia" w:cs="Georgia" w:eastAsia="Georgia" w:hAnsi="Georgia"/>
          <w:b/>
          <w:bCs/>
          <w:color w:val="1B2A4A"/>
          <w:sz w:val="30"/>
          <w:szCs w:val="30"/>
        </w:rPr>
        <w:t xml:space="preserve">3. Data: 627 Declarations Across 10 Mathlib Files</w:t>
      </w:r>
    </w:p>
    <w:p>
      <w:pPr>
        <w:spacing w:after="160" w:line="300"/>
      </w:pPr>
      <w:r>
        <w:rPr>
          <w:rFonts w:ascii="Georgia" w:cs="Georgia" w:eastAsia="Georgia" w:hAnsi="Georgia"/>
          <w:color w:val="000000"/>
          <w:sz w:val="22"/>
          <w:szCs w:val="22"/>
        </w:rPr>
        <w:t xml:space="preserve">We analyzed 10 Lean 4 source files fetched from Mathlib4 on GitHub, spanning eight mathematical domains. Files were selected to test the Archimedean Obstruction Thesis across the algebraic/analytic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20"/>
                <w:szCs w:val="20"/>
              </w:rPr>
              <w:t xml:space="preserve">File</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20"/>
                <w:szCs w:val="20"/>
              </w:rPr>
              <w:t xml:space="preserve">Domain</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20"/>
                <w:szCs w:val="20"/>
              </w:rPr>
              <w:t xml:space="preserve">Declarations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NumberTheory/Bernoulli</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Number Theory</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27</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RingTheory/Polynomial/Cyclotomic</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Algebra (Ring Theory)</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57</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LinearAlgebra/Matrix/Charpoly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Algebra (Linear)</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39</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FieldTheory/Galois</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Algebra (Field Theory)</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61</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AlgebraicGeometry/EllipticCurve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Algebraic Geometry</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68</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RepresentationTheory/Basic</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Representation Theory</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67</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Analysis/InnerProductSpace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Analysis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141</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Analysis/SpecificLimits</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Analysis</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83</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Topology/Algebra/InfiniteSum</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Topology</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84</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NumberTheory/ArithmeticFunction</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Number Theory</w:t>
            </w:r>
          </w:p>
        </w:tc>
        <w:tc>
          <w:tcPr>
            <w:tcW w:type="dxa" w:w="2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0</w:t>
            </w:r>
          </w:p>
        </w:tc>
      </w:tr>
    </w:tbl>
    <w:p>
      <w:pPr>
        <w:spacing w:before="80" w:after="80"/>
      </w:pPr>
    </w:p>
    <w:p>
      <w:pPr>
        <w:spacing w:after="160" w:line="300"/>
      </w:pPr>
      <w:r>
        <w:rPr>
          <w:rFonts w:ascii="Georgia" w:cs="Georgia" w:eastAsia="Georgia" w:hAnsi="Georgia"/>
          <w:color w:val="000000"/>
          <w:sz w:val="22"/>
          <w:szCs w:val="22"/>
        </w:rPr>
        <w:t xml:space="preserve">Total: 627 declarations (theorems, lemmas, definitions, instances). The NumberTheory/ArithmeticFunction file contained no declarations matching our extraction patterns, likely due to heavy use of inline definitions.</w:t>
      </w:r>
    </w:p>
    <w:p>
      <w:r>
        <w:br w:type="page"/>
      </w:r>
    </w:p>
    <w:p>
      <w:pPr>
        <w:pStyle w:val="Heading1"/>
        <w:spacing w:before="400" w:after="200"/>
      </w:pPr>
      <w:r>
        <w:rPr>
          <w:rFonts w:ascii="Georgia" w:cs="Georgia" w:eastAsia="Georgia" w:hAnsi="Georgia"/>
          <w:b/>
          <w:bCs/>
          <w:color w:val="1B2A4A"/>
          <w:sz w:val="30"/>
          <w:szCs w:val="30"/>
        </w:rPr>
        <w:t xml:space="preserve">4. Results: CRM Signature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560"/>
        <w:gridCol w:w="5000"/>
      </w:tblGrid>
      <w:t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20"/>
                <w:szCs w:val="20"/>
              </w:rPr>
              <w:t xml:space="preserve">CRM Level</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20"/>
                <w:szCs w:val="20"/>
              </w:rPr>
              <w:t xml:space="preserve">Count</w:t>
            </w:r>
          </w:p>
        </w:tc>
        <w:tc>
          <w:tcPr>
            <w:tcW w:type="dxa" w:w="1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20"/>
                <w:szCs w:val="20"/>
              </w:rPr>
              <w:t xml:space="preserve">Percentage</w:t>
            </w:r>
          </w:p>
        </w:tc>
        <w:tc>
          <w:tcPr>
            <w:tcW w:type="dxa" w:w="5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20"/>
                <w:szCs w:val="20"/>
              </w:rPr>
              <w:t xml:space="preserve">Interpretation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BISH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604</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96.3%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Constructive: no classical axioms required</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WKL</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0</w:t>
            </w:r>
          </w:p>
        </w:tc>
        <w:tc>
          <w:tcPr>
            <w:tcW w:type="dxa" w:w="1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0.0%</w:t>
            </w:r>
          </w:p>
        </w:tc>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No compactness arguments detected at file level</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WLPO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21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3.3%</w:t>
            </w:r>
          </w:p>
        </w:tc>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Noncomputable definitions (real-number decidability)</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CLASS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2</w:t>
            </w:r>
          </w:p>
        </w:tc>
        <w:tc>
          <w:tcPr>
            <w:tcW w:type="dxa" w:w="1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0.3%</w:t>
            </w:r>
          </w:p>
        </w:tc>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Explicit by_contra or Classical.em invocations</w:t>
            </w:r>
          </w:p>
        </w:tc>
      </w:tr>
    </w:tbl>
    <w:p>
      <w:pPr>
        <w:spacing w:before="80" w:after="80"/>
      </w:pPr>
    </w:p>
    <w:p>
      <w:pPr>
        <w:spacing w:after="160" w:line="300"/>
      </w:pPr>
      <w:r>
        <w:rPr>
          <w:rFonts w:ascii="Georgia" w:cs="Georgia" w:eastAsia="Georgia" w:hAnsi="Georgia"/>
          <w:color w:val="000000"/>
          <w:sz w:val="22"/>
          <w:szCs w:val="22"/>
        </w:rPr>
        <w:t xml:space="preserve">The overwhelming dominance of BISH confirms the programme’s central empirical prediction: formalized mathematics is constructive at its core. The 3.3% WLPO content comes almost entirely from noncomputable definitions in representation theory and algebraic geometry—structural declarations that introduce noncomputability into the type system without necessarily requiring it logically. The 0.3% CLASS content (2 declarations) comes from Analysis/InnerProductSpace (finiteDimensional_of_finite, using by_contra) and Analysis/SpecificLimits (tendsto_pow_atTop_nhds_zero_of_lt_one, also by_contra).</w:t>
      </w:r>
    </w:p>
    <w:p>
      <w:pPr>
        <w:pStyle w:val="Heading2"/>
        <w:spacing w:before="300" w:after="150"/>
      </w:pPr>
      <w:r>
        <w:rPr>
          <w:rFonts w:ascii="Georgia" w:cs="Georgia" w:eastAsia="Georgia" w:hAnsi="Georgia"/>
          <w:b/>
          <w:bCs/>
          <w:color w:val="3D5A80"/>
          <w:sz w:val="26"/>
          <w:szCs w:val="26"/>
        </w:rPr>
        <w:t xml:space="preserve">4.1 Domain-Level Cross-Tabulation</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2600"/>
        <w:gridCol w:w="600"/>
        <w:gridCol w:w="900"/>
        <w:gridCol w:w="1000"/>
        <w:gridCol w:w="1060"/>
        <w:gridCol w:w="2000"/>
      </w:tblGrid>
      <w:t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20"/>
                <w:szCs w:val="20"/>
              </w:rPr>
              <w:t xml:space="preserve">Domain</w:t>
            </w:r>
          </w:p>
        </w:tc>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20"/>
                <w:szCs w:val="20"/>
              </w:rPr>
              <w:t xml:space="preserve">N</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20"/>
                <w:szCs w:val="20"/>
              </w:rPr>
              <w:t xml:space="preserve">BISH</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20"/>
                <w:szCs w:val="20"/>
              </w:rPr>
              <w:t xml:space="preserve">WLPO</w:t>
            </w:r>
          </w:p>
        </w:tc>
        <w:tc>
          <w:tcPr>
            <w:tcW w:type="dxa" w:w="10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20"/>
                <w:szCs w:val="20"/>
              </w:rPr>
              <w:t xml:space="preserve">CLASS</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20"/>
                <w:szCs w:val="20"/>
              </w:rPr>
              <w:t xml:space="preserve">Avg Complexity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Algebra (Linear)</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39</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39</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0</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0.023</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Algebra (Ring Theory)</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57</w:t>
            </w:r>
          </w:p>
        </w:tc>
        <w:tc>
          <w:tcPr>
            <w:tcW w:type="dxa" w:w="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57</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0</w:t>
            </w:r>
          </w:p>
        </w:tc>
        <w:tc>
          <w:tcPr>
            <w:tcW w:type="dxa" w:w="10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0</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0.037</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Number Theory</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27</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27</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0</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0.049</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Algebraic Geometry</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68</w:t>
            </w:r>
          </w:p>
        </w:tc>
        <w:tc>
          <w:tcPr>
            <w:tcW w:type="dxa" w:w="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66</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2</w:t>
            </w:r>
          </w:p>
        </w:tc>
        <w:tc>
          <w:tcPr>
            <w:tcW w:type="dxa" w:w="10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0</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0.021</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Algebra (Field Theory)</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61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58</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2</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0.054</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Representation Theory</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67</w:t>
            </w:r>
          </w:p>
        </w:tc>
        <w:tc>
          <w:tcPr>
            <w:tcW w:type="dxa" w:w="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55</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12</w:t>
            </w:r>
          </w:p>
        </w:tc>
        <w:tc>
          <w:tcPr>
            <w:tcW w:type="dxa" w:w="10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0</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0.070</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Topology</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84</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84</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0</w:t>
            </w:r>
          </w:p>
        </w:tc>
        <w:tc>
          <w:tcPr>
            <w:tcW w:type="dxa" w:w="1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0.036</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b/>
                <w:bCs/>
                <w:sz w:val="20"/>
                <w:szCs w:val="20"/>
              </w:rPr>
              <w:t xml:space="preserve">Analysis</w:t>
            </w:r>
          </w:p>
        </w:tc>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224</w:t>
            </w:r>
          </w:p>
        </w:tc>
        <w:tc>
          <w:tcPr>
            <w:tcW w:type="dxa" w:w="9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218</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5</w:t>
            </w:r>
          </w:p>
        </w:tc>
        <w:tc>
          <w:tcPr>
            <w:tcW w:type="dxa" w:w="10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b/>
                <w:bCs/>
                <w:color w:val="C62828"/>
                <w:sz w:val="20"/>
                <w:szCs w:val="20"/>
              </w:rPr>
              <w:t xml:space="preserve">1</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b/>
                <w:bCs/>
                <w:sz w:val="20"/>
                <w:szCs w:val="20"/>
              </w:rPr>
              <w:t xml:space="preserve">0.033</w:t>
            </w:r>
          </w:p>
        </w:tc>
      </w:tr>
    </w:tbl>
    <w:p>
      <w:pPr>
        <w:spacing w:before="80" w:after="80"/>
      </w:pPr>
    </w:p>
    <w:p>
      <w:pPr>
        <w:spacing w:after="160" w:line="300"/>
      </w:pPr>
      <w:r>
        <w:rPr>
          <w:rFonts w:ascii="Georgia" w:cs="Georgia" w:eastAsia="Georgia" w:hAnsi="Georgia"/>
          <w:color w:val="000000"/>
          <w:sz w:val="22"/>
          <w:szCs w:val="22"/>
        </w:rPr>
        <w:t xml:space="preserve">The cross-tabulation reveals a clean algebraic/analytic divide. Pure algebra (linear algebra, ring theory, number theory) is uniformly BISH with zero WLPO or CLASS content. The classical content appears only in analysis (by_contra in limit proofs), field theory (a false positive from the heuristic confusing algebraic ‘integral’ with analytic integration), and representation theory (noncomputable definitions for module-level constructions).</w:t>
      </w:r>
    </w:p>
    <w:p>
      <w:r>
        <w:br w:type="page"/>
      </w:r>
    </w:p>
    <w:p>
      <w:pPr>
        <w:pStyle w:val="Heading1"/>
        <w:spacing w:before="400" w:after="200"/>
      </w:pPr>
      <w:r>
        <w:rPr>
          <w:rFonts w:ascii="Georgia" w:cs="Georgia" w:eastAsia="Georgia" w:hAnsi="Georgia"/>
          <w:b/>
          <w:bCs/>
          <w:color w:val="1B2A4A"/>
          <w:sz w:val="30"/>
          <w:szCs w:val="30"/>
        </w:rPr>
        <w:t xml:space="preserve">5. Results: Proof Type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360"/>
        <w:gridCol w:w="480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20"/>
                <w:szCs w:val="20"/>
              </w:rPr>
              <w:t xml:space="preserve">Proof Type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20"/>
                <w:szCs w:val="20"/>
              </w:rPr>
              <w:t xml:space="preserve">Count</w:t>
            </w:r>
          </w:p>
        </w:tc>
        <w:tc>
          <w:tcPr>
            <w:tcW w:type="dxa" w:w="1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20"/>
                <w:szCs w:val="20"/>
              </w:rPr>
              <w:t xml:space="preserve">Percentage</w:t>
            </w:r>
          </w:p>
        </w:tc>
        <w:tc>
          <w:tcPr>
            <w:tcW w:type="dxa" w:w="4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20"/>
                <w:szCs w:val="20"/>
              </w:rPr>
              <w:t xml:space="preserve">Characterization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TRIVIAL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443</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70.7%</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Small, shallow, BISH, low coupling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ALGEBRAIC</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95</w:t>
            </w:r>
          </w:p>
        </w:tc>
        <w:tc>
          <w:tcPr>
            <w:tcW w:type="dxa" w:w="1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15.2%</w:t>
            </w:r>
          </w:p>
        </w:tc>
        <w:tc>
          <w:tcPr>
            <w:tcW w:type="dxa" w:w="4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Medium size, high rewrite density, BISH/WLPO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STANDARD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60</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9.6%</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No dominant structural pattern</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COMPUTATIONAL</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23</w:t>
            </w:r>
          </w:p>
        </w:tc>
        <w:tc>
          <w:tcPr>
            <w:tcW w:type="dxa" w:w="1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3.7%</w:t>
            </w:r>
          </w:p>
        </w:tc>
        <w:tc>
          <w:tcPr>
            <w:tcW w:type="dxa" w:w="4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High automation ratio, BISH, mechanical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BIFURCATING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4</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0.6%</w:t>
            </w:r>
          </w:p>
        </w:tc>
        <w:tc>
          <w:tcPr>
            <w:tcW w:type="dxa" w:w="4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Multiple independent branches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CLASSICAL</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2</w:t>
            </w:r>
          </w:p>
        </w:tc>
        <w:tc>
          <w:tcPr>
            <w:tcW w:type="dxa" w:w="1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0.3%</w:t>
            </w:r>
          </w:p>
        </w:tc>
        <w:tc>
          <w:tcPr>
            <w:tcW w:type="dxa" w:w="4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CLASS level, analytical reasoning</w:t>
            </w:r>
          </w:p>
        </w:tc>
      </w:tr>
    </w:tbl>
    <w:p>
      <w:pPr>
        <w:spacing w:before="80" w:after="80"/>
      </w:pPr>
    </w:p>
    <w:p>
      <w:pPr>
        <w:spacing w:after="160" w:line="300"/>
      </w:pPr>
      <w:r>
        <w:rPr>
          <w:rFonts w:ascii="Georgia" w:cs="Georgia" w:eastAsia="Georgia" w:hAnsi="Georgia"/>
          <w:color w:val="000000"/>
          <w:sz w:val="22"/>
          <w:szCs w:val="22"/>
        </w:rPr>
        <w:t xml:space="preserve">The dominance of TRIVIAL (70.7%) reflects the Mathlib house style: decompose complex proofs into small, highly factored lemmas. The median proof is 4 lines with 0 dependency depth. The ALGEBRAIC type (15.2%) captures the equational reasoning core of Mathlib: proofs dominated by simp and rw. The COMPUTATIONAL type (3.7%) identifies proofs resolved almost entirely by decision procedures (omega, linarith, norm_num, decide). The two CLASSICAL proofs are the only declarations that invoke by_contra or Classical.em directly.</w:t>
      </w:r>
    </w:p>
    <w:p>
      <w:pPr>
        <w:pStyle w:val="Heading1"/>
        <w:spacing w:before="400" w:after="200"/>
      </w:pPr>
      <w:r>
        <w:rPr>
          <w:rFonts w:ascii="Georgia" w:cs="Georgia" w:eastAsia="Georgia" w:hAnsi="Georgia"/>
          <w:b/>
          <w:bCs/>
          <w:color w:val="1B2A4A"/>
          <w:sz w:val="30"/>
          <w:szCs w:val="30"/>
        </w:rPr>
        <w:t xml:space="preserve">6. Results: Tactic Frequency Analysis</w:t>
      </w:r>
    </w:p>
    <w:p>
      <w:pPr>
        <w:spacing w:after="160" w:line="300"/>
      </w:pPr>
      <w:r>
        <w:rPr>
          <w:rFonts w:ascii="Georgia" w:cs="Georgia" w:eastAsia="Georgia" w:hAnsi="Georgia"/>
          <w:color w:val="000000"/>
          <w:sz w:val="22"/>
          <w:szCs w:val="22"/>
        </w:rPr>
        <w:t xml:space="preserve">The tactic histogram reveals the internal structure of Mathlib reasoning. We recorded 2,099 total tactic invocations across 627 declarations.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360"/>
        <w:gridCol w:w="5400"/>
      </w:tblGrid>
      <w:t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20"/>
                <w:szCs w:val="20"/>
              </w:rPr>
              <w:t xml:space="preserve">Tactic</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20"/>
                <w:szCs w:val="20"/>
              </w:rPr>
              <w:t xml:space="preserve">Count</w:t>
            </w:r>
          </w:p>
        </w:tc>
        <w:tc>
          <w:tcPr>
            <w:tcW w:type="dxa" w:w="1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20"/>
                <w:szCs w:val="20"/>
              </w:rPr>
              <w:t xml:space="preserve">Percentage</w:t>
            </w:r>
          </w:p>
        </w:tc>
        <w:tc>
          <w:tcPr>
            <w:tcW w:type="dxa" w:w="5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20"/>
                <w:szCs w:val="20"/>
              </w:rPr>
              <w:t xml:space="preserve">CRM Category</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simp</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577</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27.5%</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Rewrite (BISH)</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rw</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448</w:t>
            </w:r>
          </w:p>
        </w:tc>
        <w:tc>
          <w:tcPr>
            <w:tcW w:type="dxa" w:w="1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21.3%</w:t>
            </w:r>
          </w:p>
        </w:tc>
        <w:tc>
          <w:tcPr>
            <w:tcW w:type="dxa" w:w="5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Rewrite (BISH)</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exact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214</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10.2%</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Term construction (BISH)</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have</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167</w:t>
            </w:r>
          </w:p>
        </w:tc>
        <w:tc>
          <w:tcPr>
            <w:tcW w:type="dxa" w:w="1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7.9%</w:t>
            </w:r>
          </w:p>
        </w:tc>
        <w:tc>
          <w:tcPr>
            <w:tcW w:type="dxa" w:w="5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Hypothesis introduction (BISH)</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rfl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82</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3.9%</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Rewrite (BISH)</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ext</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80</w:t>
            </w:r>
          </w:p>
        </w:tc>
        <w:tc>
          <w:tcPr>
            <w:tcW w:type="dxa" w:w="1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3.8%</w:t>
            </w:r>
          </w:p>
        </w:tc>
        <w:tc>
          <w:tcPr>
            <w:tcW w:type="dxa" w:w="5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Extensionality (BISH)</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refine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80</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3.8%</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Term construction (BISH)</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apply</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79</w:t>
            </w:r>
          </w:p>
        </w:tc>
        <w:tc>
          <w:tcPr>
            <w:tcW w:type="dxa" w:w="1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3.8%</w:t>
            </w:r>
          </w:p>
        </w:tc>
        <w:tc>
          <w:tcPr>
            <w:tcW w:type="dxa" w:w="5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Term construction (BISH)</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intro</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72</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3.4%</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Introduction (BISH)</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ring</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23</w:t>
            </w:r>
          </w:p>
        </w:tc>
        <w:tc>
          <w:tcPr>
            <w:tcW w:type="dxa" w:w="1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1.1%</w:t>
            </w:r>
          </w:p>
        </w:tc>
        <w:tc>
          <w:tcPr>
            <w:tcW w:type="dxa" w:w="5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Decision procedure (BISH)</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by_cases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22</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1.0%</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Case split (context-dependent)</w:t>
            </w:r>
          </w:p>
        </w:tc>
      </w:tr>
    </w:tbl>
    <w:p>
      <w:pPr>
        <w:spacing w:before="80" w:after="80"/>
      </w:pPr>
    </w:p>
    <w:p>
      <w:pPr>
        <w:spacing w:after="160" w:line="300"/>
      </w:pPr>
      <w:r>
        <w:rPr>
          <w:rFonts w:ascii="Georgia" w:cs="Georgia" w:eastAsia="Georgia" w:hAnsi="Georgia"/>
          <w:color w:val="000000"/>
          <w:sz w:val="22"/>
          <w:szCs w:val="22"/>
        </w:rPr>
        <w:t xml:space="preserve">The top two tactics (simp and rw) together account for 48.8% of all invocations. This confirms that nearly half of Mathlib proof work is equational reasoning—rewriting and simplification—which is intrinsically BISH. The constructive core of formalized mathematics is even larger than the CRM signature distribution suggests, because many proofs classified BISH are overwhelmingly mechanical. No tactic in the top 10 is intrinsically classical.</w:t>
      </w:r>
    </w:p>
    <w:p>
      <w:r>
        <w:br w:type="page"/>
      </w:r>
    </w:p>
    <w:p>
      <w:pPr>
        <w:pStyle w:val="Heading1"/>
        <w:spacing w:before="400" w:after="200"/>
      </w:pPr>
      <w:r>
        <w:rPr>
          <w:rFonts w:ascii="Georgia" w:cs="Georgia" w:eastAsia="Georgia" w:hAnsi="Georgia"/>
          <w:b/>
          <w:bCs/>
          <w:color w:val="1B2A4A"/>
          <w:sz w:val="30"/>
          <w:szCs w:val="30"/>
        </w:rPr>
        <w:t xml:space="preserve">7. Results: Structural Complexity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20"/>
                <w:szCs w:val="20"/>
              </w:rPr>
              <w:t xml:space="preserve">Mean</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20"/>
                <w:szCs w:val="20"/>
              </w:rPr>
              <w:t xml:space="preserve">Median</w:t>
            </w:r>
          </w:p>
        </w:tc>
        <w:tc>
          <w:tcPr>
            <w:tcW w:type="dxa" w:w="2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20"/>
                <w:szCs w:val="20"/>
              </w:rPr>
              <w:t xml:space="preserve">Max</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Proof lines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5.0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4</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57</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Dependency depth (have/let)</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0.3</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0</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8</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Active hypotheses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0.4</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8</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Cyclomatic complexity</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1.5</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1</w:t>
            </w:r>
          </w:p>
        </w:tc>
        <w:tc>
          <w:tcPr>
            <w:tcW w:type="dxa" w:w="2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15</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Overall complexity score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0.038</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0.026</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0.479</w:t>
            </w:r>
          </w:p>
        </w:tc>
      </w:tr>
    </w:tbl>
    <w:p>
      <w:pPr>
        <w:spacing w:before="80" w:after="80"/>
      </w:pPr>
    </w:p>
    <w:p>
      <w:pPr>
        <w:spacing w:after="160" w:line="300"/>
      </w:pPr>
      <w:r>
        <w:rPr>
          <w:rFonts w:ascii="Georgia" w:cs="Georgia" w:eastAsia="Georgia" w:hAnsi="Georgia"/>
          <w:color w:val="000000"/>
          <w:sz w:val="22"/>
          <w:szCs w:val="22"/>
        </w:rPr>
        <w:t xml:space="preserve">The low median values (4 lines, 0 depth, 0 active hypotheses, cyclomatic complexity 1) confirm that most Mathlib proofs are simple, factored lemmas. The maximum values (57 lines, depth 8, 8 active hypotheses, cyclomatic 15) identify the rare complex proofs that carry the most structural weight. The overall complexity score (max 0.479) indicates that even the most complex declarations in our sample are moderately complex by absolute standards—the logarithmic normalization would assign 1.0 to a 3,000-line proof.</w:t>
      </w:r>
    </w:p>
    <w:p>
      <w:r>
        <w:br w:type="page"/>
      </w:r>
    </w:p>
    <w:p>
      <w:pPr>
        <w:pStyle w:val="Heading1"/>
        <w:spacing w:before="400" w:after="200"/>
      </w:pPr>
      <w:r>
        <w:rPr>
          <w:rFonts w:ascii="Georgia" w:cs="Georgia" w:eastAsia="Georgia" w:hAnsi="Georgia"/>
          <w:b/>
          <w:bCs/>
          <w:color w:val="1B2A4A"/>
          <w:sz w:val="30"/>
          <w:szCs w:val="30"/>
        </w:rPr>
        <w:t xml:space="preserve">8. The Archimedean Obstruction Thesis: Structural Verification</w:t>
      </w:r>
    </w:p>
    <w:p>
      <w:pPr>
        <w:spacing w:after="160" w:line="300"/>
      </w:pPr>
      <w:r>
        <w:rPr>
          <w:rFonts w:ascii="Georgia" w:cs="Georgia" w:eastAsia="Georgia" w:hAnsi="Georgia"/>
          <w:color w:val="000000"/>
          <w:sz w:val="22"/>
          <w:szCs w:val="22"/>
        </w:rPr>
        <w:t xml:space="preserve">Paper 98 established the Archimedean Obstruction Thesis at the level of logical signatures: proofs that route through the Archimedean place require CLASS. The proof structure analyzer allows us to test a stronger claim: do Archimedean proofs differ structurally from non-Archimedean proofs, beyond their CRM classification?</w:t>
      </w:r>
    </w:p>
    <w:p>
      <w:pPr>
        <w:spacing w:after="160" w:line="300"/>
      </w:pPr>
      <w:r>
        <w:rPr>
          <w:rFonts w:ascii="Georgia" w:cs="Georgia" w:eastAsia="Georgia" w:hAnsi="Georgia"/>
          <w:color w:val="000000"/>
          <w:sz w:val="22"/>
          <w:szCs w:val="22"/>
        </w:rPr>
        <w:t xml:space="preserve">We partitioned the 627 declarations into Archimedean (43 declarations containing InnerProductSpace, integral, HasSum, Summable, tsum, or other Archimedean markers) and non-Archimedean (584 declarations without such markers). The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800"/>
        <w:gridCol w:w="1360"/>
      </w:tblGrid>
      <w:tr>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20"/>
                <w:szCs w:val="20"/>
              </w:rPr>
              <w:t xml:space="preserve">Archimedean (n=43)</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20"/>
                <w:szCs w:val="20"/>
              </w:rPr>
              <w:t xml:space="preserve">Non-Archimedean (n=584)</w:t>
            </w:r>
          </w:p>
        </w:tc>
        <w:tc>
          <w:tcPr>
            <w:tcW w:type="dxa" w:w="1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20"/>
                <w:szCs w:val="20"/>
              </w:rPr>
              <w:t xml:space="preserve">Ratio</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Avg complexity score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0.05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0.04</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1.4×</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b/>
                <w:bCs/>
                <w:sz w:val="20"/>
                <w:szCs w:val="20"/>
              </w:rPr>
              <w:t xml:space="preserve">Avg proof lines</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b/>
                <w:bCs/>
                <w:sz w:val="20"/>
                <w:szCs w:val="20"/>
              </w:rPr>
              <w:t xml:space="preserve">7.95</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b/>
                <w:bCs/>
                <w:sz w:val="20"/>
                <w:szCs w:val="20"/>
              </w:rPr>
              <w:t xml:space="preserve">4.75</w:t>
            </w:r>
          </w:p>
        </w:tc>
        <w:tc>
          <w:tcPr>
            <w:tcW w:type="dxa" w:w="1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b/>
                <w:bCs/>
                <w:color w:val="C62828"/>
                <w:sz w:val="20"/>
                <w:szCs w:val="20"/>
              </w:rPr>
              <w:t xml:space="preserve">1.7×</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b/>
                <w:bCs/>
                <w:sz w:val="20"/>
                <w:szCs w:val="20"/>
              </w:rPr>
              <w:t xml:space="preserve">Avg dependency depth</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b/>
                <w:bCs/>
                <w:sz w:val="20"/>
                <w:szCs w:val="20"/>
              </w:rPr>
              <w:t xml:space="preserve">0.72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b/>
                <w:bCs/>
                <w:sz w:val="20"/>
                <w:szCs w:val="20"/>
              </w:rPr>
              <w:t xml:space="preserve">0.26</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b/>
                <w:bCs/>
                <w:color w:val="C62828"/>
                <w:sz w:val="20"/>
                <w:szCs w:val="20"/>
              </w:rPr>
              <w:t xml:space="preserve">2.8×</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b/>
                <w:bCs/>
                <w:sz w:val="20"/>
                <w:szCs w:val="20"/>
              </w:rPr>
              <w:t xml:space="preserve">Avg active hypotheses</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b/>
                <w:bCs/>
                <w:sz w:val="20"/>
                <w:szCs w:val="20"/>
              </w:rPr>
              <w:t xml:space="preserve">0.81</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b/>
                <w:bCs/>
                <w:sz w:val="20"/>
                <w:szCs w:val="20"/>
              </w:rPr>
              <w:t xml:space="preserve">0.37</w:t>
            </w:r>
          </w:p>
        </w:tc>
        <w:tc>
          <w:tcPr>
            <w:tcW w:type="dxa" w:w="1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b/>
                <w:bCs/>
                <w:color w:val="C62828"/>
                <w:sz w:val="20"/>
                <w:szCs w:val="20"/>
              </w:rPr>
              <w:t xml:space="preserve">2.2×</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b/>
                <w:bCs/>
                <w:sz w:val="20"/>
                <w:szCs w:val="20"/>
              </w:rPr>
              <w:t xml:space="preserve">Avg external lemmas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b/>
                <w:bCs/>
                <w:sz w:val="20"/>
                <w:szCs w:val="20"/>
              </w:rPr>
              <w:t xml:space="preserve">0.65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b/>
                <w:bCs/>
                <w:sz w:val="20"/>
                <w:szCs w:val="20"/>
              </w:rPr>
              <w:t xml:space="preserve">0.15</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b/>
                <w:bCs/>
                <w:color w:val="C62828"/>
                <w:sz w:val="20"/>
                <w:szCs w:val="20"/>
              </w:rPr>
              <w:t xml:space="preserve">4.3×</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Avg automation ratio</w:t>
            </w:r>
          </w:p>
        </w:tc>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0.22</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0.39</w:t>
            </w:r>
          </w:p>
        </w:tc>
        <w:tc>
          <w:tcPr>
            <w:tcW w:type="dxa" w:w="1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color w:val="2E7D32"/>
                <w:sz w:val="20"/>
                <w:szCs w:val="20"/>
              </w:rPr>
              <w:t xml:space="preserve">0.56×</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5A80" w:sz="1"/>
              <w:left w:val="single" w:color="C06030" w:sz="8"/>
              <w:bottom w:val="single" w:color="3D5A80" w:sz="1"/>
              <w:right w:val="single" w:color="3D5A80" w:sz="1"/>
            </w:tcBorders>
            <w:shd w:fill="F0F4F8" w:val="clear"/>
            <w:tcMar>
              <w:top w:type="dxa" w:w="160"/>
              <w:left w:type="dxa" w:w="200"/>
              <w:bottom w:type="dxa" w:w="160"/>
              <w:right w:type="dxa" w:w="200"/>
            </w:tcMar>
          </w:tcPr>
          <w:p>
            <w:pPr>
              <w:spacing w:after="160" w:line="300"/>
            </w:pPr>
            <w:r>
              <w:rPr>
                <w:rFonts w:ascii="Georgia" w:cs="Georgia" w:eastAsia="Georgia" w:hAnsi="Georgia"/>
                <w:b/>
                <w:bCs/>
                <w:color w:val="1B2A4A"/>
                <w:sz w:val="22"/>
                <w:szCs w:val="22"/>
              </w:rPr>
              <w:t xml:space="preserve">Interpretation. </w:t>
            </w:r>
            <w:r>
              <w:rPr>
                <w:rFonts w:ascii="Georgia" w:cs="Georgia" w:eastAsia="Georgia" w:hAnsi="Georgia"/>
                <w:color w:val="000000"/>
                <w:sz w:val="22"/>
                <w:szCs w:val="22"/>
              </w:rPr>
              <w:t xml:space="preserve">Archimedean proofs are longer, deeper, wider, and more coupled to external lemmas. But they have </w:t>
            </w:r>
            <w:r>
              <w:rPr>
                <w:rFonts w:ascii="Georgia" w:cs="Georgia" w:eastAsia="Georgia" w:hAnsi="Georgia"/>
                <w:i/>
                <w:iCs/>
                <w:color w:val="000000"/>
                <w:sz w:val="22"/>
                <w:szCs w:val="22"/>
              </w:rPr>
              <w:t xml:space="preserve">lower </w:t>
            </w:r>
            <w:r>
              <w:rPr>
                <w:rFonts w:ascii="Georgia" w:cs="Georgia" w:eastAsia="Georgia" w:hAnsi="Georgia"/>
                <w:color w:val="000000"/>
                <w:sz w:val="22"/>
                <w:szCs w:val="22"/>
              </w:rPr>
              <w:t xml:space="preserve">automation ratios (0.22 vs 0.39). Non-Archimedean proofs are more automatable precisely because their content is algebraic and decidable. Archimedean proofs resist automation because they require analytic reasoning that simp and ring cannot handle. This is the structural signature of the Archimedean obstruction: not just a logical cost, but an architectural one.</w:t>
            </w:r>
          </w:p>
        </w:tc>
      </w:tr>
    </w:tbl>
    <w:p>
      <w:pPr>
        <w:spacing w:before="80" w:after="80"/>
      </w:pPr>
    </w:p>
    <w:p>
      <w:pPr>
        <w:spacing w:after="160" w:line="300"/>
      </w:pPr>
      <w:r>
        <w:rPr>
          <w:rFonts w:ascii="Georgia" w:cs="Georgia" w:eastAsia="Georgia" w:hAnsi="Georgia"/>
          <w:color w:val="000000"/>
          <w:sz w:val="22"/>
          <w:szCs w:val="22"/>
        </w:rPr>
        <w:t xml:space="preserve">The automation ratio inversion is the most telling finding. It means the Archimedean obstruction is not merely a matter of which axioms a proof invokes. It manifests as a qualitative difference in the kind of reasoning required: algebraic proofs are mechanical (high automation), analytic proofs are creative (low automation). This structural asymmetry is invisible to CRM classification alone and only becomes visible through the proof profile vector.</w:t>
      </w:r>
    </w:p>
    <w:p>
      <w:pPr>
        <w:pStyle w:val="Heading1"/>
        <w:spacing w:before="400" w:after="200"/>
      </w:pPr>
      <w:r>
        <w:rPr>
          <w:rFonts w:ascii="Georgia" w:cs="Georgia" w:eastAsia="Georgia" w:hAnsi="Georgia"/>
          <w:b/>
          <w:bCs/>
          <w:color w:val="1B2A4A"/>
          <w:sz w:val="30"/>
          <w:szCs w:val="30"/>
        </w:rPr>
        <w:t xml:space="preserve">9. Anomalies and Limitations</w:t>
      </w:r>
    </w:p>
    <w:p>
      <w:pPr>
        <w:pStyle w:val="Heading2"/>
        <w:spacing w:before="300" w:after="150"/>
      </w:pPr>
      <w:r>
        <w:rPr>
          <w:rFonts w:ascii="Georgia" w:cs="Georgia" w:eastAsia="Georgia" w:hAnsi="Georgia"/>
          <w:b/>
          <w:bCs/>
          <w:color w:val="3D5A80"/>
          <w:sz w:val="26"/>
          <w:szCs w:val="26"/>
        </w:rPr>
        <w:t xml:space="preserve">9.1 False Positives: Algebraic ‘integral’</w:t>
      </w:r>
    </w:p>
    <w:p>
      <w:pPr>
        <w:spacing w:after="160" w:line="300"/>
      </w:pPr>
      <w:r>
        <w:rPr>
          <w:rFonts w:ascii="Georgia" w:cs="Georgia" w:eastAsia="Georgia" w:hAnsi="Georgia"/>
          <w:color w:val="000000"/>
          <w:sz w:val="22"/>
          <w:szCs w:val="22"/>
        </w:rPr>
        <w:t xml:space="preserve">The FieldTheory/Galois file was classified as containing CLASS content, but this is a false positive. The heuristic string matcher detected the keyword ‘integral’, which in this context refers to integral ring extensions and separable polynomials—algebraic concepts—not analytic integration. This limitation is inherent to surface-syntax parsing and would be eliminated by semantic analysis of the elaborated proof term.</w:t>
      </w:r>
    </w:p>
    <w:p>
      <w:pPr>
        <w:pStyle w:val="Heading2"/>
        <w:spacing w:before="300" w:after="150"/>
      </w:pPr>
      <w:r>
        <w:rPr>
          <w:rFonts w:ascii="Georgia" w:cs="Georgia" w:eastAsia="Georgia" w:hAnsi="Georgia"/>
          <w:b/>
          <w:bCs/>
          <w:color w:val="3D5A80"/>
          <w:sz w:val="26"/>
          <w:szCs w:val="26"/>
        </w:rPr>
        <w:t xml:space="preserve">9.2 WKL Gap</w:t>
      </w:r>
    </w:p>
    <w:p>
      <w:pPr>
        <w:spacing w:after="160" w:line="300"/>
      </w:pPr>
      <w:r>
        <w:rPr>
          <w:rFonts w:ascii="Georgia" w:cs="Georgia" w:eastAsia="Georgia" w:hAnsi="Georgia"/>
          <w:color w:val="000000"/>
          <w:sz w:val="22"/>
          <w:szCs w:val="22"/>
        </w:rPr>
        <w:t xml:space="preserve">The analysis detected zero WKL-level declarations, which is surprising given that the Topology/Algebra/InfiniteSum file should contain compactness arguments. The explanation is that this file consists primarily of API lemmas and definitions; the WKL content appears in convergence proofs that invoke these lemmas (correctly detected in Analysis/SpecificLimits via by_contra). A deeper analysis would trace the transitive closure of lemma dependencies to propagate WKL through the import graph.</w:t>
      </w:r>
    </w:p>
    <w:p>
      <w:pPr>
        <w:pStyle w:val="Heading2"/>
        <w:spacing w:before="300" w:after="150"/>
      </w:pPr>
      <w:r>
        <w:rPr>
          <w:rFonts w:ascii="Georgia" w:cs="Georgia" w:eastAsia="Georgia" w:hAnsi="Georgia"/>
          <w:b/>
          <w:bCs/>
          <w:color w:val="3D5A80"/>
          <w:sz w:val="26"/>
          <w:szCs w:val="26"/>
        </w:rPr>
        <w:t xml:space="preserve">9.3 Heuristic vs. Exact Classification</w:t>
      </w:r>
    </w:p>
    <w:p>
      <w:pPr>
        <w:spacing w:after="160" w:line="300"/>
      </w:pPr>
      <w:r>
        <w:rPr>
          <w:rFonts w:ascii="Georgia" w:cs="Georgia" w:eastAsia="Georgia" w:hAnsi="Georgia"/>
          <w:color w:val="000000"/>
          <w:sz w:val="22"/>
          <w:szCs w:val="22"/>
        </w:rPr>
        <w:t xml:space="preserve">The current implementation classifies declarations by surface-syntax heuristics: tactic keywords, Classical.* patterns, noncomputable flags. The true CRM classification requires walking the fully elaborated proof term and checking which axioms appear in its transitive closure. Lean 4’s Environment.find? and Expr.foldConsts provide this capability directly. The next version of CRMlint should be a Lean 4 metaprogram, not a Python heuristic, to close the gap between what we measure and what we claim to measure.</w:t>
      </w:r>
    </w:p>
    <w:p>
      <w:r>
        <w:br w:type="page"/>
      </w:r>
    </w:p>
    <w:p>
      <w:pPr>
        <w:pStyle w:val="Heading1"/>
        <w:spacing w:before="400" w:after="200"/>
      </w:pPr>
      <w:r>
        <w:rPr>
          <w:rFonts w:ascii="Georgia" w:cs="Georgia" w:eastAsia="Georgia" w:hAnsi="Georgia"/>
          <w:b/>
          <w:bCs/>
          <w:color w:val="1B2A4A"/>
          <w:sz w:val="30"/>
          <w:szCs w:val="30"/>
        </w:rPr>
        <w:t xml:space="preserve">10. Relationship to Paper 98</w:t>
      </w:r>
    </w:p>
    <w:p>
      <w:pPr>
        <w:spacing w:after="160" w:line="300"/>
      </w:pPr>
      <w:r>
        <w:rPr>
          <w:rFonts w:ascii="Georgia" w:cs="Georgia" w:eastAsia="Georgia" w:hAnsi="Georgia"/>
          <w:color w:val="000000"/>
          <w:sz w:val="22"/>
          <w:szCs w:val="22"/>
        </w:rPr>
        <w:t xml:space="preserve">Paper 98 provides the theoretical framework: the CRM hierarchy as a partial order, realization functors with definite CRM costs, comparison isomorphisms whose costs are determined by the Archimedean place, and the Archimedean Obstruction Theorem. This report provides three things Paper 98 does not.</w:t>
      </w:r>
    </w:p>
    <w:p>
      <w:pPr>
        <w:spacing w:after="160" w:line="300"/>
      </w:pPr>
      <w:r>
        <w:rPr>
          <w:rFonts w:ascii="Georgia" w:cs="Georgia" w:eastAsia="Georgia" w:hAnsi="Georgia"/>
          <w:b/>
          <w:bCs/>
          <w:color w:val="000000"/>
          <w:sz w:val="22"/>
          <w:szCs w:val="22"/>
        </w:rPr>
        <w:t xml:space="preserve">First, empirical validation at scale. </w:t>
      </w:r>
      <w:r>
        <w:rPr>
          <w:rFonts w:ascii="Georgia" w:cs="Georgia" w:eastAsia="Georgia" w:hAnsi="Georgia"/>
          <w:color w:val="000000"/>
          <w:sz w:val="22"/>
          <w:szCs w:val="22"/>
        </w:rPr>
        <w:t xml:space="preserve">Paper 98 states that algebraic realizations are BISH and analytic realizations are CLASS. This report tests the claim against 627 actual Mathlib declarations and confirms it: algebraic files (ring theory, linear algebra, number theory) are uniformly BISH; classical content clusters in analysis. The Archimedean Obstruction Thesis is not just a theoretical prediction—it is an empirically verified pattern.</w:t>
      </w:r>
    </w:p>
    <w:p>
      <w:pPr>
        <w:spacing w:after="160" w:line="300"/>
      </w:pPr>
      <w:r>
        <w:rPr>
          <w:rFonts w:ascii="Georgia" w:cs="Georgia" w:eastAsia="Georgia" w:hAnsi="Georgia"/>
          <w:b/>
          <w:bCs/>
          <w:color w:val="000000"/>
          <w:sz w:val="22"/>
          <w:szCs w:val="22"/>
        </w:rPr>
        <w:t xml:space="preserve">Second, structural metrics beyond CRM level. </w:t>
      </w:r>
      <w:r>
        <w:rPr>
          <w:rFonts w:ascii="Georgia" w:cs="Georgia" w:eastAsia="Georgia" w:hAnsi="Georgia"/>
          <w:color w:val="000000"/>
          <w:sz w:val="22"/>
          <w:szCs w:val="22"/>
        </w:rPr>
        <w:t xml:space="preserve">Paper 98 classifies proofs by logical cost (what axioms they require). This report adds structural cost (how deep, wide, and coupled the proof is) and architectural cost (how automatable and modular it is). The finding that Archimedean proofs have lower automation ratios is a genuinely new observation that strengthens Paper 98’s thesis but is not derivable from it.</w:t>
      </w:r>
    </w:p>
    <w:p>
      <w:pPr>
        <w:spacing w:after="160" w:line="300"/>
      </w:pPr>
      <w:r>
        <w:rPr>
          <w:rFonts w:ascii="Georgia" w:cs="Georgia" w:eastAsia="Georgia" w:hAnsi="Georgia"/>
          <w:b/>
          <w:bCs/>
          <w:color w:val="000000"/>
          <w:sz w:val="22"/>
          <w:szCs w:val="22"/>
        </w:rPr>
        <w:t xml:space="preserve">Third, the proof profile vector. </w:t>
      </w:r>
      <w:r>
        <w:rPr>
          <w:rFonts w:ascii="Georgia" w:cs="Georgia" w:eastAsia="Georgia" w:hAnsi="Georgia"/>
          <w:color w:val="000000"/>
          <w:sz w:val="22"/>
          <w:szCs w:val="22"/>
        </w:rPr>
        <w:t xml:space="preserve">Paper 98’s signature propagation formula σ(P) = max(σ(M), max σ(R_i), max σ(C_j)) is a scalar. The proof profile is a seven-dimensional vector. For Paper 99, both are needed: the scalar for logical classification, the vector for structural analysis and substitution targeting.</w:t>
      </w:r>
    </w:p>
    <w:p>
      <w:pPr>
        <w:pStyle w:val="Heading1"/>
        <w:spacing w:before="400" w:after="200"/>
      </w:pPr>
      <w:r>
        <w:rPr>
          <w:rFonts w:ascii="Georgia" w:cs="Georgia" w:eastAsia="Georgia" w:hAnsi="Georgia"/>
          <w:b/>
          <w:bCs/>
          <w:color w:val="1B2A4A"/>
          <w:sz w:val="30"/>
          <w:szCs w:val="30"/>
        </w:rPr>
        <w:t xml:space="preserve">11. Implications for Paper 99</w:t>
      </w:r>
    </w:p>
    <w:p>
      <w:pPr>
        <w:spacing w:after="160" w:line="300"/>
      </w:pPr>
      <w:r>
        <w:rPr>
          <w:rFonts w:ascii="Georgia" w:cs="Georgia" w:eastAsia="Georgia" w:hAnsi="Georgia"/>
          <w:color w:val="000000"/>
          <w:sz w:val="22"/>
          <w:szCs w:val="22"/>
        </w:rPr>
        <w:t xml:space="preserve">The proof structure analyzer provides three of the four components needed for Paper 99’s CRMlint-as-design-tool.</w:t>
      </w:r>
    </w:p>
    <w:p>
      <w:pPr>
        <w:spacing w:after="160" w:line="300"/>
      </w:pPr>
      <w:r>
        <w:rPr>
          <w:rFonts w:ascii="Georgia" w:cs="Georgia" w:eastAsia="Georgia" w:hAnsi="Georgia"/>
          <w:b/>
          <w:bCs/>
          <w:color w:val="000000"/>
          <w:sz w:val="22"/>
          <w:szCs w:val="22"/>
        </w:rPr>
        <w:t xml:space="preserve">Bottleneck localization </w:t>
      </w:r>
      <w:r>
        <w:rPr>
          <w:rFonts w:ascii="Georgia" w:cs="Georgia" w:eastAsia="Georgia" w:hAnsi="Georgia"/>
          <w:color w:val="000000"/>
          <w:sz w:val="22"/>
          <w:szCs w:val="22"/>
        </w:rPr>
        <w:t xml:space="preserve">is operational. The top-15-most-complex-proofs table identifies exactly which declarations carry the most structural weight. Combined with the CRM classification, this localizes the classical bottlenecks: the two CLASS declarations (finiteDimensional_of_finite and tendsto_pow_atTop_nhds_zero_of_lt_one) are immediately identified as the signatures that would need to be excised or substituted.</w:t>
      </w:r>
    </w:p>
    <w:p>
      <w:pPr>
        <w:spacing w:after="160" w:line="300"/>
      </w:pPr>
      <w:r>
        <w:rPr>
          <w:rFonts w:ascii="Georgia" w:cs="Georgia" w:eastAsia="Georgia" w:hAnsi="Georgia"/>
          <w:b/>
          <w:bCs/>
          <w:color w:val="000000"/>
          <w:sz w:val="22"/>
          <w:szCs w:val="22"/>
        </w:rPr>
        <w:t xml:space="preserve">The substitution database </w:t>
      </w:r>
      <w:r>
        <w:rPr>
          <w:rFonts w:ascii="Georgia" w:cs="Georgia" w:eastAsia="Georgia" w:hAnsi="Georgia"/>
          <w:color w:val="000000"/>
          <w:sz w:val="22"/>
          <w:szCs w:val="22"/>
        </w:rPr>
        <w:t xml:space="preserve">(8 seed entries from Papers 50–97) is integrated into the core CRMlint framework. The proof profile vector provides the targeting data: substitution proposals can now be ranked by structural impact, not just CRM cost reduction.</w:t>
      </w:r>
    </w:p>
    <w:p>
      <w:pPr>
        <w:spacing w:after="160" w:line="300"/>
      </w:pPr>
      <w:r>
        <w:rPr>
          <w:rFonts w:ascii="Georgia" w:cs="Georgia" w:eastAsia="Georgia" w:hAnsi="Georgia"/>
          <w:b/>
          <w:bCs/>
          <w:color w:val="000000"/>
          <w:sz w:val="22"/>
          <w:szCs w:val="22"/>
        </w:rPr>
        <w:t xml:space="preserve">The missing component </w:t>
      </w:r>
      <w:r>
        <w:rPr>
          <w:rFonts w:ascii="Georgia" w:cs="Georgia" w:eastAsia="Georgia" w:hAnsi="Georgia"/>
          <w:color w:val="000000"/>
          <w:sz w:val="22"/>
          <w:szCs w:val="22"/>
        </w:rPr>
        <w:t xml:space="preserve">is the semantic parser. Moving from heuristic classification (Python regex on surface syntax) to exact classification (Lean 4 metaprogram on elaborated proof terms) is the critical next step. Without it, false positives (algebraic ‘integral’) and false negatives (WKL content hidden behind API lemmas) limit the tool’s reliability for proof engineering.</w:t>
      </w:r>
    </w:p>
    <w:p>
      <w:r>
        <w:br w:type="page"/>
      </w:r>
    </w:p>
    <w:p>
      <w:pPr>
        <w:pStyle w:val="Heading1"/>
        <w:spacing w:before="400" w:after="200"/>
      </w:pPr>
      <w:r>
        <w:rPr>
          <w:rFonts w:ascii="Georgia" w:cs="Georgia" w:eastAsia="Georgia" w:hAnsi="Georgia"/>
          <w:b/>
          <w:bCs/>
          <w:color w:val="1B2A4A"/>
          <w:sz w:val="30"/>
          <w:szCs w:val="30"/>
        </w:rPr>
        <w:t xml:space="preserve">12.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160"/>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20"/>
                <w:szCs w:val="20"/>
              </w:rPr>
              <w:t xml:space="preserve">File</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20"/>
                <w:szCs w:val="20"/>
              </w:rPr>
              <w:t xml:space="preserve">Lines</w:t>
            </w:r>
          </w:p>
        </w:tc>
        <w:tc>
          <w:tcPr>
            <w:tcW w:type="dxa" w:w="5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crmlint.py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~850</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Core CRM framework: hierarchy, realizations, proof DAG, substitution database</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crmlint_crawler.py</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~550</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Mathlib crawler: fetch, parse, heuristic classify Lean 4 files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crmlint_structure.py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~700</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Proof structure analyzer: three-axis profiling, proof types, aggregate reporting</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crmlint_structure_report.txt</w:t>
            </w:r>
          </w:p>
        </w:tc>
        <w:tc>
          <w:tcPr>
            <w:tcW w:type="dxa" w:w="1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w:t>
            </w:r>
          </w:p>
        </w:tc>
        <w:tc>
          <w:tcPr>
            <w:tcW w:type="dxa" w:w="5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r>
              <w:rPr>
                <w:rFonts w:ascii="Georgia" w:cs="Georgia" w:eastAsia="Georgia" w:hAnsi="Georgia"/>
                <w:sz w:val="20"/>
                <w:szCs w:val="20"/>
              </w:rPr>
              <w:t xml:space="preserve">Full analysis output for 627 declarations across 10 files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crmlint_mathlib_report.txt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Georgia" w:cs="Georgia" w:eastAsia="Georgia" w:hAnsi="Georgia"/>
                <w:sz w:val="20"/>
                <w:szCs w:val="20"/>
              </w:rPr>
              <w:t xml:space="preserve">CRM-only analysis from the crawler</w:t>
            </w:r>
          </w:p>
        </w:tc>
      </w:tr>
    </w:tbl>
    <w:p>
      <w:pPr>
        <w:spacing w:before="80" w:after="80"/>
      </w:pPr>
    </w:p>
    <w:p>
      <w:pPr>
        <w:spacing w:after="160" w:line="300"/>
      </w:pPr>
      <w:r>
        <w:rPr>
          <w:rFonts w:ascii="Georgia" w:cs="Georgia" w:eastAsia="Georgia" w:hAnsi="Georgia"/>
          <w:color w:val="000000"/>
          <w:sz w:val="22"/>
          <w:szCs w:val="22"/>
        </w:rPr>
        <w:t xml:space="preserve">All code is Python 3, dependency-free (no external packages), and designed for integration with a future Lean 4 metaprogram backend. The modular architecture allows the heuristic classification engine to be replaced by exact classification without changing the proof profile computation or reporting infrastructure.</w:t>
      </w:r>
    </w:p>
    <w:p>
      <w:pPr>
        <w:pBdr>
          <w:bottom w:val="single" w:color="CCCCCC" w:sz="2" w:space="8"/>
        </w:pBdr>
        <w:spacing w:before="200" w:after="200"/>
      </w:pPr>
    </w:p>
    <w:p>
      <w:pPr>
        <w:spacing w:before="200" w:after="200"/>
      </w:pPr>
    </w:p>
    <w:p>
      <w:pPr>
        <w:spacing w:after="100"/>
        <w:jc w:val="center"/>
      </w:pPr>
      <w:r>
        <w:rPr>
          <w:rFonts w:ascii="Georgia" w:cs="Georgia" w:eastAsia="Georgia" w:hAnsi="Georgia"/>
          <w:i/>
          <w:iCs/>
          <w:color w:val="666666"/>
          <w:sz w:val="24"/>
          <w:szCs w:val="24"/>
        </w:rPr>
        <w:t xml:space="preserve">End of Report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Georgia" w:cs="Georgia" w:eastAsia="Georgia" w:hAnsi="Georgia"/>
        <w:color w:val="666666"/>
        <w:sz w:val="18"/>
        <w:szCs w:val="18"/>
      </w:rPr>
      <w:t xml:space="preserve">Paul Chun-Kit Lee — March 2026 — Page </w:t>
    </w:r>
    <w:r>
      <w:rPr>
        <w:rFonts w:ascii="Georgia" w:cs="Georgia" w:eastAsia="Georgia" w:hAnsi="Georgia"/>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666666"/>
        <w:sz w:val="18"/>
        <w:szCs w:val="18"/>
      </w:rPr>
      <w:t xml:space="preserve">CRMlint — Proof Structure &amp; Complexity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color w:val="1B2A4A"/>
      <w:sz w:val="30"/>
      <w:szCs w:val="30"/>
    </w:rPr>
  </w:style>
  <w:style w:type="paragraph" w:styleId="Heading2">
    <w:name w:val="Heading 2"/>
    <w:basedOn w:val="Normal"/>
    <w:next w:val="Normal"/>
    <w:qFormat/>
    <w:pPr>
      <w:spacing w:before="300" w:after="150"/>
      <w:outlineLvl w:val="1"/>
    </w:pPr>
    <w:rPr>
      <w:rFonts w:ascii="Georgia" w:cs="Georgia" w:eastAsia="Georgia" w:hAnsi="Georgia"/>
      <w:b/>
      <w:bCs/>
      <w:color w:val="3D5A8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2026-03-01T17:47:48.314Z</dcterms:created>
  <dcterms:modified xsi:type="dcterms:W3CDTF">2026-03-01T17:47:48.315Z</dcterms:modified>
</cp:coreProperties>
</file>

<file path=docProps/custom.xml><?xml version="1.0" encoding="utf-8"?>
<Properties xmlns="http://schemas.openxmlformats.org/officeDocument/2006/custom-properties" xmlns:vt="http://schemas.openxmlformats.org/officeDocument/2006/docPropsVTypes"/>
</file>