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7" w:name="content"/>
    <w:bookmarkStart w:id="26" w:name="executive-summary"/>
    <w:p>
      <w:pPr>
        <w:pStyle w:val="Heading1"/>
      </w:pPr>
      <w:r>
        <w:t xml:space="preserve">Executive Summary</w:t>
      </w:r>
    </w:p>
    <w:p>
      <w:pPr>
        <w:pStyle w:val="FirstParagraph"/>
      </w:pPr>
      <w:r>
        <w:t xml:space="preserve">Large IT-services firms (like TCS) routinely face</w:t>
      </w:r>
      <w:r>
        <w:t xml:space="preserve"> </w:t>
      </w:r>
      <w:r>
        <w:rPr>
          <w:b/>
          <w:bCs/>
        </w:rPr>
        <w:t xml:space="preserve">multi-month delays</w:t>
      </w:r>
      <w:r>
        <w:t xml:space="preserve"> </w:t>
      </w:r>
      <w:r>
        <w:t xml:space="preserve">in staffing AI/ML projects with the needed talent, tools, and infrastructure. Only a small minority of AI initiatives reach full ROI (e.g. Gartner found just ~28% of I&amp;O AI projects fully succeed【46†L328-L332】), and surveys show 95% of generative-AI pilots stall【44†L105-L112】【44†L121-L128】. The root causes span</w:t>
      </w:r>
      <w:r>
        <w:t xml:space="preserve"> </w:t>
      </w:r>
      <w:r>
        <w:rPr>
          <w:b/>
          <w:bCs/>
        </w:rPr>
        <w:t xml:space="preserve">talent shortages</w:t>
      </w:r>
      <w:r>
        <w:t xml:space="preserve"> </w:t>
      </w:r>
      <w:r>
        <w:t xml:space="preserve">(skills gaps, long hiring cycles),</w:t>
      </w:r>
      <w:r>
        <w:t xml:space="preserve"> </w:t>
      </w:r>
      <w:r>
        <w:rPr>
          <w:b/>
          <w:bCs/>
        </w:rPr>
        <w:t xml:space="preserve">tool and data bottlenecks</w:t>
      </w:r>
      <w:r>
        <w:t xml:space="preserve"> </w:t>
      </w:r>
      <w:r>
        <w:t xml:space="preserve">(slow procurement, siloed systems, compliance audits), and</w:t>
      </w:r>
      <w:r>
        <w:t xml:space="preserve"> </w:t>
      </w:r>
      <w:r>
        <w:rPr>
          <w:b/>
          <w:bCs/>
        </w:rPr>
        <w:t xml:space="preserve">infrastructure hurdles</w:t>
      </w:r>
      <w:r>
        <w:t xml:space="preserve"> </w:t>
      </w:r>
      <w:r>
        <w:t xml:space="preserve">(security approvals, GPU provisioning, legacy processes). For example, Salesforce reported that model deployment once took 6–8 weeks due to capacity planning and approvals【23†L72-L80】, whereas a managed AI platform cut this to 1–2 weeks【23†L102-L109】. Similarly, Gartner predicts 60% of AI projects will be abandoned without “AI-ready” data【47†L332-L338】, and 38% of I&amp;O leaders cite skills gaps as a direct failure cause【46†L365-L369】. These delays erode project timelines, inflate costs (IT projects historically overrun budgets by ~30–50%【53†L327-L336】), dampen morale, and threaten client satisfaction.</w:t>
      </w:r>
    </w:p>
    <w:p>
      <w:pPr>
        <w:pStyle w:val="BodyText"/>
      </w:pPr>
      <w:r>
        <w:rPr>
          <w:b/>
          <w:bCs/>
        </w:rPr>
        <w:t xml:space="preserve">Key Findings:</w:t>
      </w:r>
      <w:r>
        <w:t xml:space="preserve"> </w:t>
      </w:r>
      <w:r>
        <w:t xml:space="preserve">Surveys indicate nearly all enterprises use AI (e.g. 88% have at least one AI function【15†L79-L82】), but only ~30–40% have scaled beyond proofs-of-concept. Commonly cited obstacles are the AI skills gap (noted as the</w:t>
      </w:r>
      <w:r>
        <w:t xml:space="preserve"> </w:t>
      </w:r>
      <w:r>
        <w:rPr>
          <w:i/>
          <w:iCs/>
        </w:rPr>
        <w:t xml:space="preserve">biggest</w:t>
      </w:r>
      <w:r>
        <w:t xml:space="preserve"> </w:t>
      </w:r>
      <w:r>
        <w:t xml:space="preserve">integration barrier【30†L473-L475】), data readiness, and cumbersome approval processes. In large global-delivery models (offshore/onshore), hidden costs from time-zone lags and compliance can add ~15–25% overhead【39†L309-L318】【41†L371-L379】. Without change, companies risk stalled projects (MIT research: 95% of GenAI efforts fail to move the needle【44†L105-L112】) and losing top AI talent (Gartner warns 50% of firms without a people-centric AI strategy will lose key AI professionals by 2027【20†L320-L327】).</w:t>
      </w:r>
    </w:p>
    <w:p>
      <w:pPr>
        <w:pStyle w:val="BodyText"/>
      </w:pPr>
      <w:r>
        <w:rPr>
          <w:b/>
          <w:bCs/>
        </w:rPr>
        <w:t xml:space="preserve">Recommendations (for Senior AI Engineering Leaders):</w:t>
      </w:r>
    </w:p>
    <w:p>
      <w:pPr>
        <w:pStyle w:val="Compact"/>
        <w:numPr>
          <w:ilvl w:val="0"/>
          <w:numId w:val="1001"/>
        </w:numPr>
      </w:pPr>
      <w:r>
        <w:rPr>
          <w:b/>
          <w:bCs/>
        </w:rPr>
        <w:t xml:space="preserve">Streamline processes:</w:t>
      </w:r>
      <w:r>
        <w:t xml:space="preserve"> </w:t>
      </w:r>
      <w:r>
        <w:t xml:space="preserve">Standardize and automate onboarding workflows (e.g. pre-approved tools, IaC templates, self-service portals) to cut bureaucratic delays.</w:t>
      </w:r>
    </w:p>
    <w:p>
      <w:pPr>
        <w:pStyle w:val="Compact"/>
        <w:numPr>
          <w:ilvl w:val="0"/>
          <w:numId w:val="1001"/>
        </w:numPr>
      </w:pPr>
      <w:r>
        <w:rPr>
          <w:b/>
          <w:bCs/>
        </w:rPr>
        <w:t xml:space="preserve">Invest in people:</w:t>
      </w:r>
      <w:r>
        <w:t xml:space="preserve"> </w:t>
      </w:r>
      <w:r>
        <w:t xml:space="preserve">Build internal AI training/upskilling programs and talent marketplaces to fill the skills gap【30†L473-L475】【37†L216-L224】. Treat onboarding as an ongoing capability-building process, not a one-time check-the-box【10†L468-L476】【10†L615-L618】.</w:t>
      </w:r>
    </w:p>
    <w:p>
      <w:pPr>
        <w:pStyle w:val="Compact"/>
        <w:numPr>
          <w:ilvl w:val="0"/>
          <w:numId w:val="1001"/>
        </w:numPr>
      </w:pPr>
      <w:r>
        <w:rPr>
          <w:b/>
          <w:bCs/>
        </w:rPr>
        <w:t xml:space="preserve">Modernize infrastructure:</w:t>
      </w:r>
      <w:r>
        <w:t xml:space="preserve"> </w:t>
      </w:r>
      <w:r>
        <w:t xml:space="preserve">Adopt cloud-managed AI platforms (e.g. AWS Bedrock, Azure MLOps) and GitOps for rapid provisioning. Salesforce’s use of AWS Bedrock cut model launch time 75%【23†L72-L80】【23†L102-L109】.</w:t>
      </w:r>
    </w:p>
    <w:p>
      <w:pPr>
        <w:pStyle w:val="Compact"/>
        <w:numPr>
          <w:ilvl w:val="0"/>
          <w:numId w:val="1001"/>
        </w:numPr>
      </w:pPr>
      <w:r>
        <w:rPr>
          <w:b/>
          <w:bCs/>
        </w:rPr>
        <w:t xml:space="preserve">Enhance data readiness:</w:t>
      </w:r>
      <w:r>
        <w:t xml:space="preserve"> </w:t>
      </w:r>
      <w:r>
        <w:t xml:space="preserve">Deploy unified data/integration layers to eliminate custom ETL work (months saved【18†L149-L152】). Ensure “AI-ready” data pipelines to prevent project abandonment【47†L332-L338】.</w:t>
      </w:r>
    </w:p>
    <w:p>
      <w:pPr>
        <w:pStyle w:val="Compact"/>
        <w:numPr>
          <w:ilvl w:val="0"/>
          <w:numId w:val="1001"/>
        </w:numPr>
      </w:pPr>
      <w:r>
        <w:rPr>
          <w:b/>
          <w:bCs/>
        </w:rPr>
        <w:t xml:space="preserve">Governance and culture:</w:t>
      </w:r>
      <w:r>
        <w:t xml:space="preserve"> </w:t>
      </w:r>
      <w:r>
        <w:t xml:space="preserve">Embed AI into existing workflows and secure executive buy-in for cross-functional support【46†L379-L387】. Address “shadow AI” by improving enterprise tool UX (88% of users resort to personal AI otherwise【20†L361-L369】).</w:t>
      </w:r>
    </w:p>
    <w:p>
      <w:pPr>
        <w:pStyle w:val="FirstParagraph"/>
      </w:pPr>
      <w:r>
        <w:t xml:space="preserve">These changes (supported by strong metrics and case studies) are essential to accelerate AI project kickoff in a bureaucratic, matrixed organization. They focus on measurable outcomes – e.g. “time to first prototype,” cost-per-hire, and resource utilization – and balance strategic foresight with practical tactics (quick wins vs. long-term redesign).</w:t>
      </w:r>
    </w:p>
    <w:bookmarkStart w:id="21" w:name="problem-diagnosis-current-state"/>
    <w:p>
      <w:pPr>
        <w:pStyle w:val="Heading2"/>
      </w:pPr>
      <w:r>
        <w:t xml:space="preserve">Problem Diagnosis &amp; Current State</w:t>
      </w:r>
    </w:p>
    <w:p>
      <w:pPr>
        <w:pStyle w:val="FirstParagraph"/>
      </w:pPr>
      <w:r>
        <w:t xml:space="preserve">Analysis (via Fishbone/5-Whys) shows delays in AI project launches stem from intertwined issues across</w:t>
      </w:r>
      <w:r>
        <w:t xml:space="preserve"> </w:t>
      </w:r>
      <w:r>
        <w:rPr>
          <w:b/>
          <w:bCs/>
        </w:rPr>
        <w:t xml:space="preserve">People, Tools, Infrastructure, Process, and Organization</w:t>
      </w:r>
      <w:r>
        <w:t xml:space="preserve">:</w:t>
      </w:r>
    </w:p>
    <w:p>
      <w:pPr>
        <w:pStyle w:val="Compact"/>
        <w:numPr>
          <w:ilvl w:val="0"/>
          <w:numId w:val="1002"/>
        </w:numPr>
      </w:pPr>
      <w:r>
        <w:rPr>
          <w:b/>
          <w:bCs/>
        </w:rPr>
        <w:t xml:space="preserve">Talent &amp; Skills:</w:t>
      </w:r>
      <w:r>
        <w:t xml:space="preserve"> </w:t>
      </w:r>
      <w:r>
        <w:t xml:space="preserve">The global shortage of AI experts and slow hiring processes cause large gaps. Senior management often underestimates this; Deloitte found</w:t>
      </w:r>
      <w:r>
        <w:t xml:space="preserve"> </w:t>
      </w:r>
      <w:r>
        <w:rPr>
          <w:i/>
          <w:iCs/>
        </w:rPr>
        <w:t xml:space="preserve">“AI skills gap is the biggest barrier to integration”</w:t>
      </w:r>
      <w:r>
        <w:t xml:space="preserve">【30†L473-L475】. Only ~20% of executives feel their workforce is truly AI-ready【20†L333-L337】, and many firms deploy AI tools without adequate training (Forrester: only half offer basic AI training to non-tech staff【37†L216-L224】). As a result, projects stall while new hires or bench resources get up to speed. Attrition and competition exacerbate this – Gartner warns 50% of firms lacking an AI people strategy will lose top AI talent by 2027【20†L320-L327】.</w:t>
      </w:r>
    </w:p>
    <w:p>
      <w:pPr>
        <w:pStyle w:val="Compact"/>
        <w:numPr>
          <w:ilvl w:val="0"/>
          <w:numId w:val="1002"/>
        </w:numPr>
      </w:pPr>
      <w:r>
        <w:rPr>
          <w:b/>
          <w:bCs/>
        </w:rPr>
        <w:t xml:space="preserve">Tools &amp; Software:</w:t>
      </w:r>
      <w:r>
        <w:t xml:space="preserve"> </w:t>
      </w:r>
      <w:r>
        <w:t xml:space="preserve">Onboarding AI toolchains is slow. Security and procurement workflows can add</w:t>
      </w:r>
      <w:r>
        <w:t xml:space="preserve"> </w:t>
      </w:r>
      <w:r>
        <w:rPr>
          <w:i/>
          <w:iCs/>
        </w:rPr>
        <w:t xml:space="preserve">weeks</w:t>
      </w:r>
      <w:r>
        <w:t xml:space="preserve"> </w:t>
      </w:r>
      <w:r>
        <w:t xml:space="preserve">of delays【18†L77-L81】. For example, integrating AI software with enterprise systems requires lengthy vendor evaluations, license approvals, and often custom coding. Datagrid notes that custom integrations can take</w:t>
      </w:r>
      <w:r>
        <w:t xml:space="preserve"> </w:t>
      </w:r>
      <w:r>
        <w:rPr>
          <w:i/>
          <w:iCs/>
        </w:rPr>
        <w:t xml:space="preserve">months</w:t>
      </w:r>
      <w:r>
        <w:t xml:space="preserve"> </w:t>
      </w:r>
      <w:r>
        <w:t xml:space="preserve">to build【18†L149-L152】. Fragmented tool stacks lead teams to hack together point solutions, only to face technical debt and rework. Shadow AI (employees using unsanctioned tools) signals poor official tool experience: Gartner reports 88% of users switch to personal AI tools when corporate solutions are lacking, risking data leaks and talent loss【20†L361-L369】.</w:t>
      </w:r>
    </w:p>
    <w:p>
      <w:pPr>
        <w:pStyle w:val="Compact"/>
        <w:numPr>
          <w:ilvl w:val="0"/>
          <w:numId w:val="1002"/>
        </w:numPr>
      </w:pPr>
      <w:r>
        <w:rPr>
          <w:b/>
          <w:bCs/>
        </w:rPr>
        <w:t xml:space="preserve">Infrastructure &amp; Data:</w:t>
      </w:r>
      <w:r>
        <w:t xml:space="preserve"> </w:t>
      </w:r>
      <w:r>
        <w:t xml:space="preserve">Provisioning compute (especially GPUs/TPUs) and data access is a chronic bottleneck. In traditional projects, hardware orders might take weeks; in AI, model experimentation demands rapid spin-up. Salesforce found that before using a serverless AI platform, onboarding an ML model took</w:t>
      </w:r>
      <w:r>
        <w:t xml:space="preserve"> </w:t>
      </w:r>
      <w:r>
        <w:rPr>
          <w:b/>
          <w:bCs/>
        </w:rPr>
        <w:t xml:space="preserve">6–8 weeks</w:t>
      </w:r>
      <w:r>
        <w:t xml:space="preserve">, due to multi-level approvals and GPU planning【23†L72-L80】. During that time, teams often over-provision, wasting budget on idle resources. Security and compliance reviews (vulnerability scans, data privacy audits) frequently add “weeks”【18†L77-L81】. Moreover, siloed legacy data means analytics teams must merge disparate sources by hand; Gartner predicts</w:t>
      </w:r>
      <w:r>
        <w:t xml:space="preserve"> </w:t>
      </w:r>
      <w:r>
        <w:rPr>
          <w:b/>
          <w:bCs/>
        </w:rPr>
        <w:t xml:space="preserve">60% of AI projects will be abandoned by 2026</w:t>
      </w:r>
      <w:r>
        <w:t xml:space="preserve"> </w:t>
      </w:r>
      <w:r>
        <w:t xml:space="preserve">if data isn’t AI-ready【47†L332-L338】.</w:t>
      </w:r>
    </w:p>
    <w:p>
      <w:pPr>
        <w:numPr>
          <w:ilvl w:val="0"/>
          <w:numId w:val="1002"/>
        </w:numPr>
      </w:pPr>
      <w:r>
        <w:rPr>
          <w:b/>
          <w:bCs/>
        </w:rPr>
        <w:t xml:space="preserve">Processes &amp; Governance:</w:t>
      </w:r>
      <w:r>
        <w:t xml:space="preserve"> </w:t>
      </w:r>
      <w:r>
        <w:t xml:space="preserve">Overly rigid processes and unclear workflows slow everything. Many organizations treat AI pilots as separate “skunkworks” projects, then hit red tape when scaling. Gartner notes that successful AI use cases are those fully embedded into existing processes with executive support【46†L379-L387】; by contrast, poorly scoped AI initiatives often implode under business misalignment. Hierarchical approvals (CFO sign-off for cloud spend, InfoSec sign-off for new software, legal vetting of AI models) multiply hand-offs. Frequent change requests, inconsistent scorecards, and lack of a central AI CoE mean each new project reinvents the wheel, rather than reusing templates. A 5-Whys analysis often traces delayed start-ups to weak upfront scoping and governance.</w:t>
      </w:r>
    </w:p>
    <w:p>
      <w:pPr>
        <w:numPr>
          <w:ilvl w:val="0"/>
          <w:numId w:val="1002"/>
        </w:numPr>
      </w:pPr>
      <w:r>
        <w:rPr>
          <w:b/>
          <w:bCs/>
        </w:rPr>
        <w:t xml:space="preserve">Organization &amp; Culture:</w:t>
      </w:r>
      <w:r>
        <w:t xml:space="preserve"> </w:t>
      </w:r>
      <w:r>
        <w:t xml:space="preserve">The global delivery model itself introduces delays. Offshore teams can be highly cost-effective but suffer from time-zone lags and limited overlap with clients. IT Convergence notes that offshore models can incur</w:t>
      </w:r>
      <w:r>
        <w:t xml:space="preserve"> </w:t>
      </w:r>
      <w:r>
        <w:rPr>
          <w:i/>
          <w:iCs/>
        </w:rPr>
        <w:t xml:space="preserve">15–25%</w:t>
      </w:r>
      <w:r>
        <w:t xml:space="preserve"> </w:t>
      </w:r>
      <w:r>
        <w:t xml:space="preserve">hidden costs from rework and delays【39†L309-L318】. Cultural and communication gaps further slow ramp-up. Strict utilization targets also discourage bench movement into unbilled training – managers are reluctant to assign idle AI talent to uncertain projects. Finally, there is a mindset obstacle: viewing AI as a “nice to have” or a one-off project rather than as a core capability leads to superficial onboarding. (ISHIR warns the biggest mistake is treating onboarding as a one-time event focused on orientation rather than continuous capability building【10†L615-L618】.)</w:t>
      </w:r>
    </w:p>
    <w:p>
      <w:pPr>
        <w:pStyle w:val="FirstParagraph"/>
      </w:pPr>
      <w:r>
        <w:t xml:space="preserve">In sum,</w:t>
      </w:r>
      <w:r>
        <w:t xml:space="preserve"> </w:t>
      </w:r>
      <w:r>
        <w:rPr>
          <w:b/>
          <w:bCs/>
        </w:rPr>
        <w:t xml:space="preserve">complex interdependencies</w:t>
      </w:r>
      <w:r>
        <w:t xml:space="preserve"> </w:t>
      </w:r>
      <w:r>
        <w:t xml:space="preserve">in large IT services create a vicious cycle. Projects that appear ready on paper repeatedly stall in execution. Time spent on each friction point compounds. Without intervention, current-state AI onboarding can easily stretch 2–3 months – often longer than entire traditional data projects – especially for high-security, offshore-infused engagements.</w:t>
      </w:r>
    </w:p>
    <w:bookmarkEnd w:id="21"/>
    <w:bookmarkStart w:id="22" w:name="industry-benchmarks-case-studies"/>
    <w:p>
      <w:pPr>
        <w:pStyle w:val="Heading2"/>
      </w:pPr>
      <w:r>
        <w:t xml:space="preserve">Industry Benchmarks &amp; Case Studies</w:t>
      </w:r>
    </w:p>
    <w:p>
      <w:pPr>
        <w:numPr>
          <w:ilvl w:val="0"/>
          <w:numId w:val="1003"/>
        </w:numPr>
      </w:pPr>
      <w:r>
        <w:rPr>
          <w:b/>
          <w:bCs/>
        </w:rPr>
        <w:t xml:space="preserve">Adoption &amp; Success Rates:</w:t>
      </w:r>
      <w:r>
        <w:t xml:space="preserve"> </w:t>
      </w:r>
      <w:r>
        <w:t xml:space="preserve">Global surveys highlight that AI adoption is widespread but still maturing. McKinsey (2025) found 88% of respondents use AI in at least one business function, yet only ~33% have scaled AI beyond pilots【15†L79-L82】. Deloitte (2026) similarly reports a boom in AI usage but stresses a readiness gap: more companies now have an AI strategy, yet</w:t>
      </w:r>
      <w:r>
        <w:t xml:space="preserve"> </w:t>
      </w:r>
      <w:r>
        <w:rPr>
          <w:i/>
          <w:iCs/>
        </w:rPr>
        <w:t xml:space="preserve">infrastructure, data, and talent</w:t>
      </w:r>
      <w:r>
        <w:t xml:space="preserve"> </w:t>
      </w:r>
      <w:r>
        <w:t xml:space="preserve">readiness lag behind【30†L503-L507】. Gartner data on I&amp;O shows a modest 28% success rate for AI use cases (and a 20% outright failure rate)【46†L328-L332】. Notably, 38% of failing initiatives cited skill shortages as the culprit【46†L365-L369】. Such benchmarks underline that delays in onboarding and integration contribute to this low yield.</w:t>
      </w:r>
    </w:p>
    <w:p>
      <w:pPr>
        <w:numPr>
          <w:ilvl w:val="0"/>
          <w:numId w:val="1003"/>
        </w:numPr>
      </w:pPr>
      <w:r>
        <w:rPr>
          <w:b/>
          <w:bCs/>
        </w:rPr>
        <w:t xml:space="preserve">Time to Onboard (Case Study – Salesforce):</w:t>
      </w:r>
      <w:r>
        <w:t xml:space="preserve"> </w:t>
      </w:r>
      <w:r>
        <w:t xml:space="preserve">A practical illustration comes from Salesforce’s AI engineering group. They reported that traditional GPU model deployment pipelines required 6–8 weeks of coordination (capacity planning with VPs, vendor contracts, benchmarking)【23†L72-L80】. By shifting to a serverless AI inference platform (AWS Bedrock CMI) and a unified CI/CD pipeline, they</w:t>
      </w:r>
      <w:r>
        <w:t xml:space="preserve"> </w:t>
      </w:r>
      <w:r>
        <w:rPr>
          <w:b/>
          <w:bCs/>
        </w:rPr>
        <w:t xml:space="preserve">cut onboarding time by 75%</w:t>
      </w:r>
      <w:r>
        <w:t xml:space="preserve"> </w:t>
      </w:r>
      <w:r>
        <w:t xml:space="preserve">– from ~7 weeks to ~1–2 weeks【23†L102-L109】. This highlights how modern platform services can dramatically accelerate AI project starts.</w:t>
      </w:r>
    </w:p>
    <w:p>
      <w:pPr>
        <w:pStyle w:val="FirstParagraph"/>
      </w:pPr>
      <w:r>
        <w:t xml:space="preserve">【52†embed_image】</w:t>
      </w:r>
      <w:r>
        <w:t xml:space="preserve"> </w:t>
      </w:r>
      <w:r>
        <w:rPr>
          <w:i/>
          <w:iCs/>
        </w:rPr>
        <w:t xml:space="preserve">Figure: AI model serving pipeline (Salesforce). By abstracting infrastructure (via AWS Bedrock and SageMaker) behind a unified GitOps workflow, Salesforce enabled rapid onboarding of new AI models【23†L72-L80】【23†L102-L109】.</w:t>
      </w:r>
    </w:p>
    <w:p>
      <w:pPr>
        <w:numPr>
          <w:ilvl w:val="0"/>
          <w:numId w:val="1004"/>
        </w:numPr>
      </w:pPr>
      <w:r>
        <w:rPr>
          <w:b/>
          <w:bCs/>
        </w:rPr>
        <w:t xml:space="preserve">Data Integration (Datagrid):</w:t>
      </w:r>
      <w:r>
        <w:t xml:space="preserve"> </w:t>
      </w:r>
      <w:r>
        <w:t xml:space="preserve">An industry solution example is the use of unified data layers. Datagrid (Procore) notes that custom data integrations often “stall AI POCs” for</w:t>
      </w:r>
      <w:r>
        <w:t xml:space="preserve"> </w:t>
      </w:r>
      <w:r>
        <w:rPr>
          <w:i/>
          <w:iCs/>
        </w:rPr>
        <w:t xml:space="preserve">months</w:t>
      </w:r>
      <w:r>
        <w:t xml:space="preserve">【18†L149-L152】. Their approach – pre-built connectors and automated profiling – can eliminate much of the custom ETL overhead. Firms like NASA and IBM have similarly reported slashing AI pilot timelines by deploying “data mesh” or data fabric architectures, effectively reducing data prep from weeks to days (though we lack a public stat, the Gartner prediction that 60% of AI projects fail without AI-ready data【47†L332-L338】 implies massive impact).</w:t>
      </w:r>
    </w:p>
    <w:p>
      <w:pPr>
        <w:numPr>
          <w:ilvl w:val="0"/>
          <w:numId w:val="1004"/>
        </w:numPr>
      </w:pPr>
      <w:r>
        <w:rPr>
          <w:b/>
          <w:bCs/>
        </w:rPr>
        <w:t xml:space="preserve">Offshore/Global Delivery Impact:</w:t>
      </w:r>
      <w:r>
        <w:t xml:space="preserve"> </w:t>
      </w:r>
      <w:r>
        <w:t xml:space="preserve">Benchmarking on global delivery models shows notable delays. For example, Gartner found many large US companies shifting to nearshore because traditional offshore introduced ~20% slower time-to-value due to time zones and culture【39†L309-L318】【41†L371-L379】. IBM (cited in IT Convergence) reported projects with tightly aligned nearshore teams can run up to 20% faster than equivalent offshore teams【39†L319-L323】. Though these aren’t AI-specific, they suggest that in TCS-like models, multi-region staffing inherently adds lag.</w:t>
      </w:r>
    </w:p>
    <w:p>
      <w:pPr>
        <w:pStyle w:val="FirstParagraph"/>
      </w:pPr>
      <w:r>
        <w:rPr>
          <w:b/>
          <w:bCs/>
        </w:rPr>
        <w:t xml:space="preserve">Benchmarks Table (Illustrative):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 / Outcome</w:t>
            </w:r>
          </w:p>
        </w:tc>
        <w:tc>
          <w:tcPr/>
          <w:p>
            <w:pPr>
              <w:pStyle w:val="Compact"/>
            </w:pPr>
            <w:r>
              <w:t xml:space="preserve">AI Context (Measured)</w:t>
            </w:r>
          </w:p>
        </w:tc>
        <w:tc>
          <w:tcPr/>
          <w:p>
            <w:pPr>
              <w:pStyle w:val="Compact"/>
            </w:pPr>
            <w:r>
              <w:t xml:space="preserve">Source</w:t>
            </w:r>
          </w:p>
        </w:tc>
      </w:tr>
      <w:tr>
        <w:tc>
          <w:tcPr/>
          <w:p>
            <w:pPr>
              <w:pStyle w:val="Compact"/>
            </w:pPr>
            <w:r>
              <w:t xml:space="preserve">% Orgs using AI (in ≥1 function)</w:t>
            </w:r>
          </w:p>
        </w:tc>
        <w:tc>
          <w:tcPr/>
          <w:p>
            <w:pPr>
              <w:pStyle w:val="Compact"/>
            </w:pPr>
            <w:r>
              <w:t xml:space="preserve">88% (2025)</w:t>
            </w:r>
          </w:p>
        </w:tc>
        <w:tc>
          <w:tcPr/>
          <w:p>
            <w:pPr>
              <w:pStyle w:val="Compact"/>
            </w:pPr>
            <w:r>
              <w:t xml:space="preserve">McKinsey【15†L79-L82】</w:t>
            </w:r>
          </w:p>
        </w:tc>
      </w:tr>
      <w:tr>
        <w:tc>
          <w:tcPr/>
          <w:p>
            <w:pPr>
              <w:pStyle w:val="Compact"/>
            </w:pPr>
            <w:r>
              <w:t xml:space="preserve">% Orgs scaling AI enterprise-wide</w:t>
            </w:r>
          </w:p>
        </w:tc>
        <w:tc>
          <w:tcPr/>
          <w:p>
            <w:pPr>
              <w:pStyle w:val="Compact"/>
            </w:pPr>
            <w:r>
              <w:t xml:space="preserve">~33%</w:t>
            </w:r>
          </w:p>
        </w:tc>
        <w:tc>
          <w:tcPr/>
          <w:p>
            <w:pPr>
              <w:pStyle w:val="Compact"/>
            </w:pPr>
            <w:r>
              <w:t xml:space="preserve">McKinsey【15†L79-L82】</w:t>
            </w:r>
          </w:p>
        </w:tc>
      </w:tr>
      <w:tr>
        <w:tc>
          <w:tcPr/>
          <w:p>
            <w:pPr>
              <w:pStyle w:val="Compact"/>
            </w:pPr>
            <w:r>
              <w:t xml:space="preserve">% I&amp;O AI use cases fully successful</w:t>
            </w:r>
          </w:p>
        </w:tc>
        <w:tc>
          <w:tcPr/>
          <w:p>
            <w:pPr>
              <w:pStyle w:val="Compact"/>
            </w:pPr>
            <w:r>
              <w:t xml:space="preserve">28%</w:t>
            </w:r>
          </w:p>
        </w:tc>
        <w:tc>
          <w:tcPr/>
          <w:p>
            <w:pPr>
              <w:pStyle w:val="Compact"/>
            </w:pPr>
            <w:r>
              <w:t xml:space="preserve">Gartner【46†L328-L332】</w:t>
            </w:r>
          </w:p>
        </w:tc>
      </w:tr>
      <w:tr>
        <w:tc>
          <w:tcPr/>
          <w:p>
            <w:pPr>
              <w:pStyle w:val="Compact"/>
            </w:pPr>
            <w:r>
              <w:t xml:space="preserve">% I&amp;O AI use cases failing</w:t>
            </w:r>
          </w:p>
        </w:tc>
        <w:tc>
          <w:tcPr/>
          <w:p>
            <w:pPr>
              <w:pStyle w:val="Compact"/>
            </w:pPr>
            <w:r>
              <w:t xml:space="preserve">20%</w:t>
            </w:r>
          </w:p>
        </w:tc>
        <w:tc>
          <w:tcPr/>
          <w:p>
            <w:pPr>
              <w:pStyle w:val="Compact"/>
            </w:pPr>
            <w:r>
              <w:t xml:space="preserve">Gartner【46†L328-L332】</w:t>
            </w:r>
          </w:p>
        </w:tc>
      </w:tr>
      <w:tr>
        <w:tc>
          <w:tcPr/>
          <w:p>
            <w:pPr>
              <w:pStyle w:val="Compact"/>
            </w:pPr>
            <w:r>
              <w:t xml:space="preserve">AI projects abandoned (lack data)</w:t>
            </w:r>
          </w:p>
        </w:tc>
        <w:tc>
          <w:tcPr/>
          <w:p>
            <w:pPr>
              <w:pStyle w:val="Compact"/>
            </w:pPr>
            <w:r>
              <w:t xml:space="preserve">60% (by 2026 prediction)</w:t>
            </w:r>
          </w:p>
        </w:tc>
        <w:tc>
          <w:tcPr/>
          <w:p>
            <w:pPr>
              <w:pStyle w:val="Compact"/>
            </w:pPr>
            <w:r>
              <w:t xml:space="preserve">Gartner【47†L332-L338】</w:t>
            </w:r>
          </w:p>
        </w:tc>
      </w:tr>
      <w:tr>
        <w:tc>
          <w:tcPr/>
          <w:p>
            <w:pPr>
              <w:pStyle w:val="Compact"/>
            </w:pPr>
            <w:r>
              <w:t xml:space="preserve">GenAI pilot rapid ROI</w:t>
            </w:r>
          </w:p>
        </w:tc>
        <w:tc>
          <w:tcPr/>
          <w:p>
            <w:pPr>
              <w:pStyle w:val="Compact"/>
            </w:pPr>
            <w:r>
              <w:t xml:space="preserve">5%</w:t>
            </w:r>
          </w:p>
        </w:tc>
        <w:tc>
          <w:tcPr/>
          <w:p>
            <w:pPr>
              <w:pStyle w:val="Compact"/>
            </w:pPr>
            <w:r>
              <w:t xml:space="preserve">MIT (Fortune)【44†L105-L112】</w:t>
            </w:r>
          </w:p>
        </w:tc>
      </w:tr>
      <w:tr>
        <w:tc>
          <w:tcPr/>
          <w:p>
            <w:pPr>
              <w:pStyle w:val="Compact"/>
            </w:pPr>
            <w:r>
              <w:t xml:space="preserve">Model onboarding time (before modernization)</w:t>
            </w:r>
          </w:p>
        </w:tc>
        <w:tc>
          <w:tcPr/>
          <w:p>
            <w:pPr>
              <w:pStyle w:val="Compact"/>
            </w:pPr>
            <w:r>
              <w:t xml:space="preserve">~6–8 weeks</w:t>
            </w:r>
          </w:p>
        </w:tc>
        <w:tc>
          <w:tcPr/>
          <w:p>
            <w:pPr>
              <w:pStyle w:val="Compact"/>
            </w:pPr>
            <w:r>
              <w:t xml:space="preserve">Salesforce【23†L72-L80】</w:t>
            </w:r>
          </w:p>
        </w:tc>
      </w:tr>
      <w:tr>
        <w:tc>
          <w:tcPr/>
          <w:p>
            <w:pPr>
              <w:pStyle w:val="Compact"/>
            </w:pPr>
            <w:r>
              <w:t xml:space="preserve">Model onboarding time (after)</w:t>
            </w:r>
          </w:p>
        </w:tc>
        <w:tc>
          <w:tcPr/>
          <w:p>
            <w:pPr>
              <w:pStyle w:val="Compact"/>
            </w:pPr>
            <w:r>
              <w:t xml:space="preserve">~1–2 weeks</w:t>
            </w:r>
          </w:p>
        </w:tc>
        <w:tc>
          <w:tcPr/>
          <w:p>
            <w:pPr>
              <w:pStyle w:val="Compact"/>
            </w:pPr>
            <w:r>
              <w:t xml:space="preserve">Salesforce【23†L102-L109】</w:t>
            </w:r>
          </w:p>
        </w:tc>
      </w:tr>
      <w:tr>
        <w:tc>
          <w:tcPr/>
          <w:p>
            <w:pPr>
              <w:pStyle w:val="Compact"/>
            </w:pPr>
            <w:r>
              <w:t xml:space="preserve">Hidden cost overhead (offshore vs nearshore)</w:t>
            </w:r>
          </w:p>
        </w:tc>
        <w:tc>
          <w:tcPr/>
          <w:p>
            <w:pPr>
              <w:pStyle w:val="Compact"/>
            </w:pPr>
            <w:r>
              <w:t xml:space="preserve">15–25% extra due to delays</w:t>
            </w:r>
          </w:p>
        </w:tc>
        <w:tc>
          <w:tcPr/>
          <w:p>
            <w:pPr>
              <w:pStyle w:val="Compact"/>
            </w:pPr>
            <w:r>
              <w:t xml:space="preserve">Forrester cited by IT Convergence【39†L309-L318】</w:t>
            </w:r>
          </w:p>
        </w:tc>
      </w:tr>
      <w:tr>
        <w:tc>
          <w:tcPr/>
          <w:p>
            <w:pPr>
              <w:pStyle w:val="Compact"/>
            </w:pPr>
            <w:r>
              <w:t xml:space="preserve">Top failure causes (skills, data)</w:t>
            </w:r>
          </w:p>
        </w:tc>
        <w:tc>
          <w:tcPr/>
          <w:p>
            <w:pPr>
              <w:pStyle w:val="Compact"/>
            </w:pPr>
            <w:r>
              <w:t xml:space="preserve">~38% cited skill gaps, 38% poor data</w:t>
            </w:r>
          </w:p>
        </w:tc>
        <w:tc>
          <w:tcPr/>
          <w:p>
            <w:pPr>
              <w:pStyle w:val="Compact"/>
            </w:pPr>
            <w:r>
              <w:t xml:space="preserve">Gartner【46†L365-L369】</w:t>
            </w:r>
          </w:p>
        </w:tc>
      </w:tr>
    </w:tbl>
    <w:p>
      <w:pPr>
        <w:pStyle w:val="BodyText"/>
      </w:pPr>
      <w:r>
        <w:rPr>
          <w:i/>
          <w:iCs/>
        </w:rPr>
        <w:t xml:space="preserve">(“AI projects” above refer to enterprise AI/ML initiatives; “I&amp;O” = Infrastructure &amp; Ops.)</w:t>
      </w:r>
    </w:p>
    <w:bookmarkEnd w:id="22"/>
    <w:bookmarkStart w:id="23" w:name="best-practices-innovative-solutions"/>
    <w:p>
      <w:pPr>
        <w:pStyle w:val="Heading2"/>
      </w:pPr>
      <w:r>
        <w:t xml:space="preserve">Best Practices &amp; Innovative Solutions</w:t>
      </w:r>
    </w:p>
    <w:p>
      <w:pPr>
        <w:pStyle w:val="FirstParagraph"/>
      </w:pPr>
      <w:r>
        <w:t xml:space="preserve">To overcome delays, leading organizations adopt</w:t>
      </w:r>
      <w:r>
        <w:t xml:space="preserve"> </w:t>
      </w:r>
      <w:r>
        <w:rPr>
          <w:b/>
          <w:bCs/>
        </w:rPr>
        <w:t xml:space="preserve">automation, centralization, and education</w:t>
      </w:r>
      <w:r>
        <w:t xml:space="preserve">. Key tactics include:</w:t>
      </w:r>
    </w:p>
    <w:p>
      <w:pPr>
        <w:numPr>
          <w:ilvl w:val="0"/>
          <w:numId w:val="1005"/>
        </w:numPr>
      </w:pPr>
      <w:r>
        <w:rPr>
          <w:b/>
          <w:bCs/>
        </w:rPr>
        <w:t xml:space="preserve">Automated Infrastructure &amp; DevOps:</w:t>
      </w:r>
      <w:r>
        <w:t xml:space="preserve"> </w:t>
      </w:r>
      <w:r>
        <w:t xml:space="preserve">Provide</w:t>
      </w:r>
      <w:r>
        <w:t xml:space="preserve"> </w:t>
      </w:r>
      <w:r>
        <w:rPr>
          <w:b/>
          <w:bCs/>
        </w:rPr>
        <w:t xml:space="preserve">self-service AI labs</w:t>
      </w:r>
      <w:r>
        <w:t xml:space="preserve">. Tools like Terraform, Kubernetes, or managed AI platforms let engineers spin up environments quickly. For instance, serverless/managed ML platforms (e.g. AWS Bedrock, Azure Machine Learning, Google Vertex AI) remove manual GPU procurement【23†L72-L80】【23†L102-L109】. Continuous integration/continuous-deployment (CI/CD) for ML (MLOps) – with containerized models and GitOps pipelines – ensures new projects don’t stall in IT queues.</w:t>
      </w:r>
      <w:r>
        <w:t xml:space="preserve"> </w:t>
      </w:r>
      <w:r>
        <w:rPr>
          <w:i/>
          <w:iCs/>
        </w:rPr>
        <w:t xml:space="preserve">Example:</w:t>
      </w:r>
      <w:r>
        <w:t xml:space="preserve"> </w:t>
      </w:r>
      <w:r>
        <w:t xml:space="preserve">Salesforce’s unified model-serving pipeline (see Figure) achieved a 75% onboarding speed-up【23†L72-L80】【23†L102-L109】.</w:t>
      </w:r>
    </w:p>
    <w:p>
      <w:pPr>
        <w:numPr>
          <w:ilvl w:val="0"/>
          <w:numId w:val="1005"/>
        </w:numPr>
      </w:pPr>
      <w:r>
        <w:rPr>
          <w:b/>
          <w:bCs/>
        </w:rPr>
        <w:t xml:space="preserve">Data &amp; Integration Platforms:</w:t>
      </w:r>
      <w:r>
        <w:t xml:space="preserve"> </w:t>
      </w:r>
      <w:r>
        <w:t xml:space="preserve">Adopt unified data layers or</w:t>
      </w:r>
      <w:r>
        <w:t xml:space="preserve"> </w:t>
      </w:r>
      <w:r>
        <w:rPr>
          <w:i/>
          <w:iCs/>
        </w:rPr>
        <w:t xml:space="preserve">DataOps</w:t>
      </w:r>
      <w:r>
        <w:t xml:space="preserve">. Pre-built connectors and event-driven data architectures can eliminate custom coding delays【18†L149-L152】. Implementing “AI-ready” data pipelines (with embedded governance and metadata) prevents the 60%-abandonment risk Gartner warns about【47†L332-L338】. Metadata management and data observability tools help ensure data is production-ready on day one.</w:t>
      </w:r>
    </w:p>
    <w:p>
      <w:pPr>
        <w:numPr>
          <w:ilvl w:val="0"/>
          <w:numId w:val="1005"/>
        </w:numPr>
      </w:pPr>
      <w:r>
        <w:rPr>
          <w:b/>
          <w:bCs/>
        </w:rPr>
        <w:t xml:space="preserve">Standardized Tool Governance:</w:t>
      </w:r>
      <w:r>
        <w:t xml:space="preserve"> </w:t>
      </w:r>
      <w:r>
        <w:t xml:space="preserve">Streamline AI tool approvals with tiered policies. Maintain an approved vendor list (with pre-vetted security/compliance) so teams can on-board tools rapidly. Use “scoring models” (as recommended by enterprise AI governance frameworks) to quickly evaluate new tools against strategic criteria【49†L441-L449】. Consolidate and rationalize overlapping tools where possible to reduce complexity【49†L525-L533】.</w:t>
      </w:r>
    </w:p>
    <w:p>
      <w:pPr>
        <w:numPr>
          <w:ilvl w:val="0"/>
          <w:numId w:val="1005"/>
        </w:numPr>
      </w:pPr>
      <w:r>
        <w:rPr>
          <w:b/>
          <w:bCs/>
        </w:rPr>
        <w:t xml:space="preserve">AI-Driven Onboarding Automation:</w:t>
      </w:r>
      <w:r>
        <w:t xml:space="preserve"> </w:t>
      </w:r>
      <w:r>
        <w:t xml:space="preserve">Experiment with AI assistants for IT provisioning. For example,</w:t>
      </w:r>
      <w:r>
        <w:t xml:space="preserve"> </w:t>
      </w:r>
      <w:r>
        <w:rPr>
          <w:b/>
          <w:bCs/>
        </w:rPr>
        <w:t xml:space="preserve">AI agents/bots</w:t>
      </w:r>
      <w:r>
        <w:t xml:space="preserve"> </w:t>
      </w:r>
      <w:r>
        <w:t xml:space="preserve">can auto-fulfill routine tasks: opening tickets, provisioning accounts, or even drafting project documentation. (Emerging “Agentic DevOps” platforms are beginning to orchestrate these flows.) Such agents can monitor project milestones and nudge teams when approvals or resources are needed, bridging communication gaps.</w:t>
      </w:r>
    </w:p>
    <w:p>
      <w:pPr>
        <w:numPr>
          <w:ilvl w:val="0"/>
          <w:numId w:val="1005"/>
        </w:numPr>
      </w:pPr>
      <w:r>
        <w:rPr>
          <w:b/>
          <w:bCs/>
        </w:rPr>
        <w:t xml:space="preserve">Intensive Upskilling:</w:t>
      </w:r>
      <w:r>
        <w:t xml:space="preserve"> </w:t>
      </w:r>
      <w:r>
        <w:t xml:space="preserve">Accelerate readiness via training. Adopt a</w:t>
      </w:r>
      <w:r>
        <w:t xml:space="preserve"> </w:t>
      </w:r>
      <w:r>
        <w:rPr>
          <w:i/>
          <w:iCs/>
        </w:rPr>
        <w:t xml:space="preserve">“training-as-product”</w:t>
      </w:r>
      <w:r>
        <w:t xml:space="preserve"> </w:t>
      </w:r>
      <w:r>
        <w:t xml:space="preserve">approach: develop AI learning tracks and certifications, gamify upskilling, and connect learners with mentors. Deloitte notes that companies are focusing on education (not just new hires) to close the AI skills gap【30†L473-L475】. Offer project-based “labs” where engineers and data scientists pair to solve real problems, building competence while working. Maintain an internal talent marketplace or rotation program so bench experts can shift into AI teams quickly (similar to IBM and Accenture internal models).</w:t>
      </w:r>
    </w:p>
    <w:p>
      <w:pPr>
        <w:numPr>
          <w:ilvl w:val="0"/>
          <w:numId w:val="1005"/>
        </w:numPr>
      </w:pPr>
      <w:r>
        <w:rPr>
          <w:b/>
          <w:bCs/>
        </w:rPr>
        <w:t xml:space="preserve">Center of Excellence (CoE):</w:t>
      </w:r>
      <w:r>
        <w:t xml:space="preserve"> </w:t>
      </w:r>
      <w:r>
        <w:t xml:space="preserve">Establish an AI/ML CoE or guild to capture best practices, templates, and playbooks. This centralized body can oversee onboarding checklists, compliance guidelines, and pilot reuse. As Gartner advises, linking AI efforts to business outcomes and embedding AI into daily workflows (with C-level support) is critical【46†L379-L387】. A CoE ensures lessons from each project shorten the next.</w:t>
      </w:r>
    </w:p>
    <w:p>
      <w:pPr>
        <w:numPr>
          <w:ilvl w:val="0"/>
          <w:numId w:val="1005"/>
        </w:numPr>
      </w:pPr>
      <w:r>
        <w:rPr>
          <w:b/>
          <w:bCs/>
        </w:rPr>
        <w:t xml:space="preserve">Cultural &amp; Policy Enablers:</w:t>
      </w:r>
      <w:r>
        <w:t xml:space="preserve"> </w:t>
      </w:r>
      <w:r>
        <w:t xml:space="preserve">Encourage a culture of experimentation and continuous onboarding. For example, ISHIR highlights treating onboarding as a</w:t>
      </w:r>
      <w:r>
        <w:t xml:space="preserve"> </w:t>
      </w:r>
      <w:r>
        <w:rPr>
          <w:i/>
          <w:iCs/>
        </w:rPr>
        <w:t xml:space="preserve">strategic investment</w:t>
      </w:r>
      <w:r>
        <w:t xml:space="preserve"> </w:t>
      </w:r>
      <w:r>
        <w:t xml:space="preserve">– provide new AI hires with tools from day one, and reward early experimentation【10†L468-L476】. Align HR and CIO functions: use AI-friendly performance metrics (e.g. time-to-productivity) rather than just headcount utilization. Address “shadow AI” by improving enterprise tool UX – CIO/CHRO collaboration is needed to make approved AI tools as easy and powerful as popular external ones【20†L361-L369】.</w:t>
      </w:r>
    </w:p>
    <w:bookmarkEnd w:id="23"/>
    <w:bookmarkStart w:id="24" w:name="potential-obstacles"/>
    <w:p>
      <w:pPr>
        <w:pStyle w:val="Heading2"/>
      </w:pPr>
      <w:r>
        <w:t xml:space="preserve">Potential Obstacles</w:t>
      </w:r>
    </w:p>
    <w:p>
      <w:pPr>
        <w:pStyle w:val="FirstParagraph"/>
      </w:pPr>
      <w:r>
        <w:t xml:space="preserve">Several challenges can impede these solutions:</w:t>
      </w:r>
    </w:p>
    <w:p>
      <w:pPr>
        <w:numPr>
          <w:ilvl w:val="0"/>
          <w:numId w:val="1006"/>
        </w:numPr>
      </w:pPr>
      <w:r>
        <w:rPr>
          <w:b/>
          <w:bCs/>
        </w:rPr>
        <w:t xml:space="preserve">Organizational Resistance:</w:t>
      </w:r>
      <w:r>
        <w:t xml:space="preserve"> </w:t>
      </w:r>
      <w:r>
        <w:t xml:space="preserve">Bureaucratic inertia is a major barrier. Large service firms have many stakeholders (PMOs, finance, security) and matrix reporting. Changing entrenched approval workflows or budget policies will meet pushback. Without strong executive mandate, site leaders may revert to old habits. Also, engineers themselves may distrust new processes if not involved in design.</w:t>
      </w:r>
    </w:p>
    <w:p>
      <w:pPr>
        <w:numPr>
          <w:ilvl w:val="0"/>
          <w:numId w:val="1006"/>
        </w:numPr>
      </w:pPr>
      <w:r>
        <w:rPr>
          <w:b/>
          <w:bCs/>
        </w:rPr>
        <w:t xml:space="preserve">Regulatory &amp; Security Constraints:</w:t>
      </w:r>
      <w:r>
        <w:t xml:space="preserve"> </w:t>
      </w:r>
      <w:r>
        <w:t xml:space="preserve">Especially in GSI firms, client and geographic regulations matter. For example, EU data-protection laws or upcoming AI regulations may limit cloud choices, forcing on-prem deployments that take longer to stand up. Security/compliance teams often err on caution – this can create “audit holidays” where teams must wait for vulnerability reviews or data privacy clearances. Without risk-based policy automation, every AI tool or dataset can trigger a lengthy review.</w:t>
      </w:r>
    </w:p>
    <w:p>
      <w:pPr>
        <w:numPr>
          <w:ilvl w:val="0"/>
          <w:numId w:val="1006"/>
        </w:numPr>
      </w:pPr>
      <w:r>
        <w:rPr>
          <w:b/>
          <w:bCs/>
        </w:rPr>
        <w:t xml:space="preserve">Technology Debt and Compatibility:</w:t>
      </w:r>
      <w:r>
        <w:t xml:space="preserve"> </w:t>
      </w:r>
      <w:r>
        <w:t xml:space="preserve">Legacy systems (monolithic apps, dated databases) do not easily connect to modern AI tools. Bridging these (via middleware or APIs) can take months, and often involves third-party vendor negotiations. Incompatibilities (e.g. on-prem Oracle vs. cloud ML SDKs) can stall projects.</w:t>
      </w:r>
    </w:p>
    <w:p>
      <w:pPr>
        <w:numPr>
          <w:ilvl w:val="0"/>
          <w:numId w:val="1006"/>
        </w:numPr>
      </w:pPr>
      <w:r>
        <w:rPr>
          <w:b/>
          <w:bCs/>
        </w:rPr>
        <w:t xml:space="preserve">Talent Retention:</w:t>
      </w:r>
      <w:r>
        <w:t xml:space="preserve"> </w:t>
      </w:r>
      <w:r>
        <w:t xml:space="preserve">The pressure to onboard quickly is undermined if new AI hires leave or take extended leave. Losing a key data scientist mid-project can re-start the hiring clock. Competing offers from tech giants with more agile processes also lure top talent. (Gartner’s finding – 50% risk of losing top AI talent without a people strategy【20†L320-L327】 – underscores this.)</w:t>
      </w:r>
    </w:p>
    <w:p>
      <w:pPr>
        <w:numPr>
          <w:ilvl w:val="0"/>
          <w:numId w:val="1006"/>
        </w:numPr>
      </w:pPr>
      <w:r>
        <w:rPr>
          <w:b/>
          <w:bCs/>
        </w:rPr>
        <w:t xml:space="preserve">Scalability of Good Practices:</w:t>
      </w:r>
      <w:r>
        <w:t xml:space="preserve"> </w:t>
      </w:r>
      <w:r>
        <w:t xml:space="preserve">Even when a CoE defines best practices, ensuring every delivery center adopts them is hard. Local offices may lack expertise or bandwidth to retrain workflows. Language and cultural differences across offshore teams can further slow alignment.</w:t>
      </w:r>
    </w:p>
    <w:p>
      <w:pPr>
        <w:numPr>
          <w:ilvl w:val="0"/>
          <w:numId w:val="1006"/>
        </w:numPr>
      </w:pPr>
      <w:r>
        <w:rPr>
          <w:b/>
          <w:bCs/>
        </w:rPr>
        <w:t xml:space="preserve">Shadow AI &amp; Governance Gaps:</w:t>
      </w:r>
      <w:r>
        <w:t xml:space="preserve"> </w:t>
      </w:r>
      <w:r>
        <w:t xml:space="preserve">Employees adept at personal AI tools may bypass slow enterprise processes, leading to compliance blind spots. Striking the right governance balance is difficult: too strict and innovation chokes; too lax and clients could suffer data leakage.</w:t>
      </w:r>
    </w:p>
    <w:bookmarkEnd w:id="24"/>
    <w:bookmarkStart w:id="25" w:name="appendix"/>
    <w:p>
      <w:pPr>
        <w:pStyle w:val="Heading2"/>
      </w:pPr>
      <w:r>
        <w:t xml:space="preserve">Appendix</w:t>
      </w:r>
    </w:p>
    <w:p>
      <w:pPr>
        <w:pStyle w:val="FirstParagraph"/>
      </w:pPr>
      <w:r>
        <w:rPr>
          <w:b/>
          <w:bCs/>
        </w:rPr>
        <w:t xml:space="preserve">Key Sources and References:</w:t>
      </w:r>
      <w:r>
        <w:t xml:space="preserve"> </w:t>
      </w:r>
      <w:r>
        <w:t xml:space="preserve">This report draws on industry benchmarks and expert analyses. Notable sources include Gartner, McKinsey, Deloitte, Forrester, and leading case studies (Salesforce engineering blog, MIT-Sloan research via Fortune, Datagrid AI integration analysis). Specific citations: McKinsey (AI Adoption Survey 2025)【15†L79-L82】; Deloitte (State of AI 2026)【30†L473-L475】; Gartner news releases on AI workforce (2026)【20†L320-L327】【20†L361-L369】 and I&amp;O projects (2026)【46†L328-L332】【46†L365-L369】; Forrester AIQ study (2026)【37†L216-L224】; MIT NANDA report (via Fortune, 2025)【44†L105-L112】【44†L121-L128】; Salesforce engineering blog (2025)【23†L72-L80】【23†L102-L109】; Datagrid blog (2025)【18†L77-L81】【18†L149-L152】; and industry analyses (e.g. IT Convergence on offshore delays【39†L309-L318】【41†L371-L379】). All figures and percentages are drawn from these cited sources.</w:t>
      </w:r>
    </w:p>
    <w:p>
      <w:pPr>
        <w:pStyle w:val="BodyText"/>
      </w:pPr>
      <w:r>
        <w:rPr>
          <w:b/>
          <w:bCs/>
        </w:rPr>
        <w:t xml:space="preserve">Glossary of Terms:</w:t>
      </w:r>
    </w:p>
    <w:p>
      <w:pPr>
        <w:pStyle w:val="Compact"/>
        <w:numPr>
          <w:ilvl w:val="0"/>
          <w:numId w:val="1007"/>
        </w:numPr>
      </w:pPr>
      <w:r>
        <w:rPr>
          <w:i/>
          <w:iCs/>
        </w:rPr>
        <w:t xml:space="preserve">AI/ML Onboarding:</w:t>
      </w:r>
      <w:r>
        <w:t xml:space="preserve"> </w:t>
      </w:r>
      <w:r>
        <w:t xml:space="preserve">The process of mobilizing necessary resources (personnel, software, hardware, data) so an AI/ML project team can start productive work.</w:t>
      </w:r>
    </w:p>
    <w:p>
      <w:pPr>
        <w:pStyle w:val="Compact"/>
        <w:numPr>
          <w:ilvl w:val="0"/>
          <w:numId w:val="1007"/>
        </w:numPr>
      </w:pPr>
      <w:r>
        <w:rPr>
          <w:i/>
          <w:iCs/>
        </w:rPr>
        <w:t xml:space="preserve">Global Delivery Model:</w:t>
      </w:r>
      <w:r>
        <w:t xml:space="preserve"> </w:t>
      </w:r>
      <w:r>
        <w:t xml:space="preserve">TCS-like structure where work is distributed across onshore (client-side or local) and offshore (remote) centers.</w:t>
      </w:r>
    </w:p>
    <w:p>
      <w:pPr>
        <w:pStyle w:val="Compact"/>
        <w:numPr>
          <w:ilvl w:val="0"/>
          <w:numId w:val="1007"/>
        </w:numPr>
      </w:pPr>
      <w:r>
        <w:rPr>
          <w:i/>
          <w:iCs/>
        </w:rPr>
        <w:t xml:space="preserve">GPU/TPU:</w:t>
      </w:r>
      <w:r>
        <w:t xml:space="preserve"> </w:t>
      </w:r>
      <w:r>
        <w:t xml:space="preserve">Specialized processors (Graphics/ Tensor units) used for AI training/inference.</w:t>
      </w:r>
    </w:p>
    <w:p>
      <w:pPr>
        <w:pStyle w:val="Compact"/>
        <w:numPr>
          <w:ilvl w:val="0"/>
          <w:numId w:val="1007"/>
        </w:numPr>
      </w:pPr>
      <w:r>
        <w:rPr>
          <w:i/>
          <w:iCs/>
        </w:rPr>
        <w:t xml:space="preserve">CoE (Center of Excellence):</w:t>
      </w:r>
      <w:r>
        <w:t xml:space="preserve"> </w:t>
      </w:r>
      <w:r>
        <w:t xml:space="preserve">A centralized team or framework to standardize best practices and governance for AI projects.</w:t>
      </w:r>
    </w:p>
    <w:p>
      <w:pPr>
        <w:pStyle w:val="Compact"/>
        <w:numPr>
          <w:ilvl w:val="0"/>
          <w:numId w:val="1007"/>
        </w:numPr>
      </w:pPr>
      <w:r>
        <w:rPr>
          <w:i/>
          <w:iCs/>
        </w:rPr>
        <w:t xml:space="preserve">MLOps:</w:t>
      </w:r>
      <w:r>
        <w:t xml:space="preserve"> </w:t>
      </w:r>
      <w:r>
        <w:t xml:space="preserve">DevOps principles applied to Machine Learning (CI/CD pipelines for models).</w:t>
      </w:r>
    </w:p>
    <w:p>
      <w:pPr>
        <w:pStyle w:val="Compact"/>
        <w:numPr>
          <w:ilvl w:val="0"/>
          <w:numId w:val="1007"/>
        </w:numPr>
      </w:pPr>
      <w:r>
        <w:rPr>
          <w:i/>
          <w:iCs/>
        </w:rPr>
        <w:t xml:space="preserve">Shadow AI:</w:t>
      </w:r>
      <w:r>
        <w:t xml:space="preserve"> </w:t>
      </w:r>
      <w:r>
        <w:t xml:space="preserve">Unofficial use of AI tools by employees (e.g. personal ChatGPT) instead of approved enterprise solutions.</w:t>
      </w:r>
    </w:p>
    <w:p>
      <w:pPr>
        <w:pStyle w:val="Compact"/>
        <w:numPr>
          <w:ilvl w:val="0"/>
          <w:numId w:val="1007"/>
        </w:numPr>
      </w:pPr>
      <w:r>
        <w:rPr>
          <w:i/>
          <w:iCs/>
        </w:rPr>
        <w:t xml:space="preserve">Agentic AI/DevOps:</w:t>
      </w:r>
      <w:r>
        <w:t xml:space="preserve"> </w:t>
      </w:r>
      <w:r>
        <w:t xml:space="preserve">AI systems (agents) that autonomously perform multi-step tasks, potentially including infrastructure management.</w:t>
      </w:r>
    </w:p>
    <w:p>
      <w:pPr>
        <w:pStyle w:val="FirstParagraph"/>
      </w:pPr>
      <w:r>
        <w:rPr>
          <w:b/>
          <w:bCs/>
        </w:rPr>
        <w:t xml:space="preserve">Additional Frameworks and Templates:</w:t>
      </w:r>
    </w:p>
    <w:p>
      <w:pPr>
        <w:pStyle w:val="Compact"/>
        <w:numPr>
          <w:ilvl w:val="0"/>
          <w:numId w:val="1008"/>
        </w:numPr>
      </w:pPr>
      <w:r>
        <w:rPr>
          <w:i/>
          <w:iCs/>
        </w:rPr>
        <w:t xml:space="preserve">Fishbone (Ishikawa) Diagram:</w:t>
      </w:r>
      <w:r>
        <w:t xml:space="preserve"> </w:t>
      </w:r>
      <w:r>
        <w:t xml:space="preserve">Categorizes root causes of onboarding delays into People, Process, Technology, Tools, and Organization. (E.g., under “People” list skills shortages, under “Technology” list legacy systems, etc.)</w:t>
      </w:r>
    </w:p>
    <w:p>
      <w:pPr>
        <w:pStyle w:val="Compact"/>
        <w:numPr>
          <w:ilvl w:val="0"/>
          <w:numId w:val="1008"/>
        </w:numPr>
      </w:pPr>
      <w:r>
        <w:rPr>
          <w:i/>
          <w:iCs/>
        </w:rPr>
        <w:t xml:space="preserve">5 Whys Analysis:</w:t>
      </w:r>
      <w:r>
        <w:t xml:space="preserve"> </w:t>
      </w:r>
      <w:r>
        <w:t xml:space="preserve">For any delay, iteratively ask “Why?” (e.g. “Why hasn’t the cloud environment been ready?” → “Because security didn’t approve the design.” → “Why not?” → etc.) to drill to root causes.</w:t>
      </w:r>
    </w:p>
    <w:p>
      <w:pPr>
        <w:pStyle w:val="Compact"/>
        <w:numPr>
          <w:ilvl w:val="0"/>
          <w:numId w:val="1008"/>
        </w:numPr>
      </w:pPr>
      <w:r>
        <w:rPr>
          <w:i/>
          <w:iCs/>
        </w:rPr>
        <w:t xml:space="preserve">Onboarding Checklists:</w:t>
      </w:r>
      <w:r>
        <w:t xml:space="preserve"> </w:t>
      </w:r>
      <w:r>
        <w:t xml:space="preserve">Tailored templates covering required approvals, hardware/software setup, training milestones, and handoffs. (For example, items like “Provision cloud account”, “Install ML framework licenses”, “Schedule hands-on training”.)</w:t>
      </w:r>
    </w:p>
    <w:p>
      <w:pPr>
        <w:pStyle w:val="Compact"/>
        <w:numPr>
          <w:ilvl w:val="0"/>
          <w:numId w:val="1008"/>
        </w:numPr>
      </w:pPr>
      <w:r>
        <w:rPr>
          <w:i/>
          <w:iCs/>
        </w:rPr>
        <w:t xml:space="preserve">RACI Matrix:</w:t>
      </w:r>
      <w:r>
        <w:t xml:space="preserve"> </w:t>
      </w:r>
      <w:r>
        <w:t xml:space="preserve">Clarifies Roles and Responsibilities across functions (e.g. who is Responsible/Accountable for tool procurement vs. who must Consult/Inform).</w:t>
      </w:r>
    </w:p>
    <w:p>
      <w:pPr>
        <w:pStyle w:val="FirstParagraph"/>
      </w:pPr>
      <w:r>
        <w:t xml:space="preserve">These tools can be adapted by the AI Engineering department to systematically identify bottlenecks and ensure no critical step is overlooked. When combined with the evidence-based insights above, they provide a structured approach to halve or more the current AI onboarding cycle time, while maintaining compliance and quality.</w:t>
      </w:r>
    </w:p>
    <w:bookmarkEnd w:id="25"/>
    <w:bookmarkEnd w:id="26"/>
    <w:bookmarkEnd w:id="27"/>
    <w:p>
      <w:r>
        <w:pict>
          <v:rect style="width:0;height:1.5pt" o:hralign="center" o:hrstd="t" o:hr="t"/>
        </w:pict>
      </w:r>
    </w:p>
    <w:bookmarkStart w:id="28" w:name="citations"/>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2026-06-03T17:25:30Z</dcterms:created>
  <dcterms:modified xsi:type="dcterms:W3CDTF">2026-06-03T17:25:30Z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