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FF6600"/>
          <w:spacing w:val="60"/>
          <w:sz w:val="18"/>
          <w:szCs w:val="18"/>
        </w:rPr>
        <w:t xml:space="preserve">OPEN POD TALK</w:t>
      </w:r>
    </w:p>
    <w:p>
      <w:pPr>
        <w:pStyle w:val="Title"/>
        <w:spacing w:after="80"/>
      </w:pPr>
      <w:r>
        <w:rPr>
          <w:rFonts w:ascii="Arial" w:cs="Arial" w:eastAsia="Arial" w:hAnsi="Arial"/>
          <w:b/>
          <w:bCs/>
          <w:color w:val="111111"/>
          <w:sz w:val="40"/>
          <w:szCs w:val="40"/>
        </w:rPr>
        <w:t xml:space="preserve">Panelist Legal Packet — Read Me First</w:t>
      </w:r>
    </w:p>
    <w:p>
      <w:pPr>
        <w:spacing w:after="240"/>
      </w:pPr>
      <w:r>
        <w:rPr>
          <w:rFonts w:ascii="Georgia" w:cs="Georgia" w:eastAsia="Georgia" w:hAnsi="Georgia"/>
          <w:i/>
          <w:iCs/>
          <w:color w:val="666666"/>
          <w:sz w:val="20"/>
          <w:szCs w:val="20"/>
        </w:rPr>
        <w:t xml:space="preserve">For the Tee &amp; Tap Sessions (2 conservatives vs. 2 liberals, moderated by Mark). Panel Packet v1.0 — September 2026.</w:t>
      </w:r>
    </w:p>
    <w:p>
      <w:pPr>
        <w:pBdr>
          <w:bottom w:val="single" w:color="FF6600" w:sz="12"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4"/>
              <w:left w:val="single" w:color="FF6600" w:sz="24"/>
              <w:bottom w:val="single" w:color="FF6600" w:sz="4"/>
              <w:right w:val="single" w:color="FF6600" w:sz="4"/>
            </w:tcBorders>
            <w:shd w:fill="FFF1E6" w:color="auto" w:val="clear"/>
            <w:tcMar>
              <w:top w:type="dxa" w:w="140"/>
              <w:left w:type="dxa" w:w="200"/>
              <w:bottom w:type="dxa" w:w="140"/>
              <w:right w:type="dxa" w:w="200"/>
            </w:tcMar>
          </w:tcPr>
          <w:p>
            <w:pPr>
              <w:spacing w:after="80" w:line="264"/>
            </w:pPr>
            <w:r>
              <w:rPr>
                <w:rFonts w:ascii="Georgia" w:cs="Georgia" w:eastAsia="Georgia" w:hAnsi="Georgia"/>
                <w:b/>
                <w:bCs/>
                <w:sz w:val="20"/>
                <w:szCs w:val="20"/>
              </w:rPr>
              <w:t xml:space="preserve">These are drafts prepared to get you to a lawyer faster, not a substitute for one.</w:t>
            </w:r>
            <w:r>
              <w:rPr>
                <w:rFonts w:ascii="Georgia" w:cs="Georgia" w:eastAsia="Georgia" w:hAnsi="Georgia"/>
                <w:sz w:val="20"/>
                <w:szCs w:val="20"/>
              </w:rPr>
              <w:t xml:space="preserve"> Open Pod Talk should have a Pennsylvania-licensed attorney review this packet before the first panelist signs, and again any time the format, venue, pay, or platforms change. The liability waiver, the jury-trial waiver, and the alcohol language are the sections most worth their time.</w:t>
            </w:r>
          </w:p>
        </w:tc>
      </w:tr>
    </w:tbl>
    <w:p>
      <w:pPr>
        <w:spacing w:after="120"/>
      </w:pPr>
    </w:p>
    <w:p>
      <w:pPr>
        <w:pStyle w:val="Heading2"/>
        <w:keepNext/>
        <w:spacing w:after="120" w:before="320"/>
      </w:pPr>
      <w:r>
        <w:rPr>
          <w:rFonts w:ascii="Arial" w:cs="Arial" w:eastAsia="Arial" w:hAnsi="Arial"/>
          <w:b/>
          <w:bCs/>
          <w:color w:val="111111"/>
          <w:sz w:val="24"/>
          <w:szCs w:val="24"/>
        </w:rPr>
        <w:t xml:space="preserve">What is in the packet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1900"/>
        <w:gridCol w:w="2960"/>
      </w:tblGrid>
      <w:tr>
        <w:trPr>
          <w:tblHeader/>
        </w:trPr>
        <w:tc>
          <w:tcPr>
            <w:tcW w:type="dxa" w:w="60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8"/>
                <w:szCs w:val="18"/>
              </w:rPr>
              <w:t xml:space="preserve">#</w:t>
            </w:r>
          </w:p>
        </w:tc>
        <w:tc>
          <w:tcPr>
            <w:tcW w:type="dxa" w:w="390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8"/>
                <w:szCs w:val="18"/>
              </w:rPr>
              <w:t xml:space="preserve">Document</w:t>
            </w:r>
          </w:p>
        </w:tc>
        <w:tc>
          <w:tcPr>
            <w:tcW w:type="dxa" w:w="190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8"/>
                <w:szCs w:val="18"/>
              </w:rPr>
              <w:t xml:space="preserve">Who signs</w:t>
            </w:r>
          </w:p>
        </w:tc>
        <w:tc>
          <w:tcPr>
            <w:tcW w:type="dxa" w:w="296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8"/>
                <w:szCs w:val="18"/>
              </w:rPr>
              <w:t xml:space="preserve">When</w:t>
            </w:r>
          </w:p>
        </w:tc>
      </w:tr>
      <w:tr>
        <w:trPr>
          <w:tblHeader w:val="false"/>
        </w:trPr>
        <w:tc>
          <w:tcPr>
            <w:tcW w:type="dxa" w:w="6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01</w:t>
            </w:r>
          </w:p>
        </w:tc>
        <w:tc>
          <w:tcPr>
            <w:tcW w:type="dxa" w:w="39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Panelist Appearance Release and Consent Agreement</w:t>
            </w:r>
          </w:p>
        </w:tc>
        <w:tc>
          <w:tcPr>
            <w:tcW w:type="dxa" w:w="19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Panelist + Producer</w:t>
            </w:r>
          </w:p>
        </w:tc>
        <w:tc>
          <w:tcPr>
            <w:tcW w:type="dxa" w:w="29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E-sign at casting confirmation, at least 48 hours before the taping. Reconfirmed verbally on camera.</w:t>
            </w:r>
          </w:p>
        </w:tc>
      </w:tr>
      <w:tr>
        <w:trPr>
          <w:tblHeader w:val="false"/>
        </w:trPr>
        <w:tc>
          <w:tcPr>
            <w:tcW w:type="dxa" w:w="6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02</w:t>
            </w:r>
          </w:p>
        </w:tc>
        <w:tc>
          <w:tcPr>
            <w:tcW w:type="dxa" w:w="39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Liability Waiver, Assumption of Risk, Release and Indemnity</w:t>
            </w:r>
          </w:p>
        </w:tc>
        <w:tc>
          <w:tcPr>
            <w:tcW w:type="dxa" w:w="19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Panelist</w:t>
            </w:r>
          </w:p>
        </w:tc>
        <w:tc>
          <w:tcPr>
            <w:tcW w:type="dxa" w:w="29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Same time as 01. Wet-ink backup available at check-in.</w:t>
            </w:r>
          </w:p>
        </w:tc>
      </w:tr>
      <w:tr>
        <w:trPr>
          <w:tblHeader w:val="false"/>
        </w:trPr>
        <w:tc>
          <w:tcPr>
            <w:tcW w:type="dxa" w:w="6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03</w:t>
            </w:r>
          </w:p>
        </w:tc>
        <w:tc>
          <w:tcPr>
            <w:tcW w:type="dxa" w:w="39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Panelist Code of Conduct and Acknowledgment</w:t>
            </w:r>
          </w:p>
        </w:tc>
        <w:tc>
          <w:tcPr>
            <w:tcW w:type="dxa" w:w="19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Panelist</w:t>
            </w:r>
          </w:p>
        </w:tc>
        <w:tc>
          <w:tcPr>
            <w:tcW w:type="dxa" w:w="29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Same time as 01. Reviewed aloud by the floor manager at check-in.</w:t>
            </w:r>
          </w:p>
        </w:tc>
      </w:tr>
      <w:tr>
        <w:trPr>
          <w:tblHeader w:val="false"/>
        </w:trPr>
        <w:tc>
          <w:tcPr>
            <w:tcW w:type="dxa" w:w="6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04</w:t>
            </w:r>
          </w:p>
        </w:tc>
        <w:tc>
          <w:tcPr>
            <w:tcW w:type="dxa" w:w="39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Confidentiality and Pre-Release Agreement</w:t>
            </w:r>
          </w:p>
        </w:tc>
        <w:tc>
          <w:tcPr>
            <w:tcW w:type="dxa" w:w="19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Panelist + Producer</w:t>
            </w:r>
          </w:p>
        </w:tc>
        <w:tc>
          <w:tcPr>
            <w:tcW w:type="dxa" w:w="29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Same time as 01.</w:t>
            </w:r>
          </w:p>
        </w:tc>
      </w:tr>
      <w:tr>
        <w:trPr>
          <w:tblHeader w:val="false"/>
        </w:trPr>
        <w:tc>
          <w:tcPr>
            <w:tcW w:type="dxa" w:w="6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05</w:t>
            </w:r>
          </w:p>
        </w:tc>
        <w:tc>
          <w:tcPr>
            <w:tcW w:type="dxa" w:w="39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Panelist Information and Emergency Contact Form</w:t>
            </w:r>
          </w:p>
        </w:tc>
        <w:tc>
          <w:tcPr>
            <w:tcW w:type="dxa" w:w="19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Panelist</w:t>
            </w:r>
          </w:p>
        </w:tc>
        <w:tc>
          <w:tcPr>
            <w:tcW w:type="dxa" w:w="29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With the packet; staff completes the ID-check box at the door.</w:t>
            </w:r>
          </w:p>
        </w:tc>
      </w:tr>
      <w:tr>
        <w:trPr>
          <w:tblHeader w:val="false"/>
        </w:trPr>
        <w:tc>
          <w:tcPr>
            <w:tcW w:type="dxa" w:w="6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06</w:t>
            </w:r>
          </w:p>
        </w:tc>
        <w:tc>
          <w:tcPr>
            <w:tcW w:type="dxa" w:w="39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Filming Notice (door sign)</w:t>
            </w:r>
          </w:p>
        </w:tc>
        <w:tc>
          <w:tcPr>
            <w:tcW w:type="dxa" w:w="19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Nobody — posted</w:t>
            </w:r>
          </w:p>
        </w:tc>
        <w:tc>
          <w:tcPr>
            <w:tcW w:type="dxa" w:w="29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Printed and posted at every entrance to Tee &amp; Tap on taping days.</w:t>
            </w:r>
          </w:p>
        </w:tc>
      </w:tr>
      <w:tr>
        <w:trPr>
          <w:tblHeader w:val="false"/>
        </w:trPr>
        <w:tc>
          <w:tcPr>
            <w:tcW w:type="dxa" w:w="6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07</w:t>
            </w:r>
          </w:p>
        </w:tc>
        <w:tc>
          <w:tcPr>
            <w:tcW w:type="dxa" w:w="39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Location Release (Tee &amp; Tap to Open Pod Talk)</w:t>
            </w:r>
          </w:p>
        </w:tc>
        <w:tc>
          <w:tcPr>
            <w:tcW w:type="dxa" w:w="19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Venue owner + Producer</w:t>
            </w:r>
          </w:p>
        </w:tc>
        <w:tc>
          <w:tcPr>
            <w:tcW w:type="dxa" w:w="29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Once, before the first taping, then annually. Sign it even if the same people own both businesses.</w:t>
            </w:r>
          </w:p>
        </w:tc>
      </w:tr>
      <w:tr>
        <w:trPr>
          <w:tblHeader w:val="false"/>
        </w:trPr>
        <w:tc>
          <w:tcPr>
            <w:tcW w:type="dxa" w:w="6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08</w:t>
            </w:r>
          </w:p>
        </w:tc>
        <w:tc>
          <w:tcPr>
            <w:tcW w:type="dxa" w:w="39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Signing Checklist and Day-of Sheet</w:t>
            </w:r>
          </w:p>
        </w:tc>
        <w:tc>
          <w:tcPr>
            <w:tcW w:type="dxa" w:w="19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Floor manager fills in</w:t>
            </w:r>
          </w:p>
        </w:tc>
        <w:tc>
          <w:tcPr>
            <w:tcW w:type="dxa" w:w="29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One per taping. Includes Mark's on-camera consent script.</w:t>
            </w:r>
          </w:p>
        </w:tc>
      </w:tr>
    </w:tbl>
    <w:p>
      <w:pPr>
        <w:spacing w:after="120"/>
      </w:pPr>
    </w:p>
    <w:p>
      <w:pPr>
        <w:pStyle w:val="Heading2"/>
        <w:keepNext/>
        <w:spacing w:after="120" w:before="320"/>
      </w:pPr>
      <w:r>
        <w:rPr>
          <w:rFonts w:ascii="Arial" w:cs="Arial" w:eastAsia="Arial" w:hAnsi="Arial"/>
          <w:b/>
          <w:bCs/>
          <w:color w:val="111111"/>
          <w:sz w:val="24"/>
          <w:szCs w:val="24"/>
        </w:rPr>
        <w:t xml:space="preserve">Blanks you must fill in before sending anything</w:t>
      </w:r>
    </w:p>
    <w:p>
      <w:pPr>
        <w:spacing w:after="140" w:line="276"/>
        <w:jc w:val="left"/>
      </w:pPr>
      <w:r>
        <w:rPr>
          <w:rFonts w:ascii="Georgia" w:cs="Georgia" w:eastAsia="Georgia" w:hAnsi="Georgia"/>
          <w:sz w:val="22"/>
          <w:szCs w:val="22"/>
        </w:rPr>
        <w:t xml:space="preserve">Every yellow-highlighted bracket in the packet is a blank. Search each file for the bracket character and replace all of them. The list:</w:t>
      </w:r>
    </w:p>
    <w:p>
      <w:pPr>
        <w:pStyle w:val="ListParagraph"/>
        <w:numPr>
          <w:ilvl w:val="0"/>
          <w:numId w:val="2"/>
        </w:numPr>
        <w:spacing w:after="80" w:line="276"/>
      </w:pPr>
      <w:r>
        <w:rPr>
          <w:rFonts w:ascii="Georgia" w:cs="Georgia" w:eastAsia="Georgia" w:hAnsi="Georgia"/>
          <w:b/>
          <w:bCs/>
          <w:sz w:val="22"/>
          <w:szCs w:val="22"/>
        </w:rPr>
        <w:t xml:space="preserve">Producer legal name and entity type</w:t>
      </w:r>
      <w:r>
        <w:rPr>
          <w:rFonts w:ascii="Georgia" w:cs="Georgia" w:eastAsia="Georgia" w:hAnsi="Georgia"/>
          <w:sz w:val="22"/>
          <w:szCs w:val="22"/>
        </w:rPr>
        <w:t xml:space="preserve"> — the exact name on the LLC or corporation paperwork for Open Pod Talk (or the personal name of the owner if there is no entity yet — and if there is no entity yet, forming one before the first taping is strongly recommended).</w:t>
      </w:r>
    </w:p>
    <w:p>
      <w:pPr>
        <w:pStyle w:val="ListParagraph"/>
        <w:numPr>
          <w:ilvl w:val="0"/>
          <w:numId w:val="2"/>
        </w:numPr>
        <w:spacing w:after="80" w:line="276"/>
      </w:pPr>
      <w:r>
        <w:rPr>
          <w:rFonts w:ascii="Georgia" w:cs="Georgia" w:eastAsia="Georgia" w:hAnsi="Georgia"/>
          <w:b/>
          <w:bCs/>
          <w:sz w:val="22"/>
          <w:szCs w:val="22"/>
        </w:rPr>
        <w:t xml:space="preserve">Producer address</w:t>
      </w:r>
      <w:r>
        <w:rPr>
          <w:rFonts w:ascii="Georgia" w:cs="Georgia" w:eastAsia="Georgia" w:hAnsi="Georgia"/>
          <w:sz w:val="22"/>
          <w:szCs w:val="22"/>
        </w:rPr>
        <w:t xml:space="preserve"> — a business mailing address.</w:t>
      </w:r>
    </w:p>
    <w:p>
      <w:pPr>
        <w:pStyle w:val="ListParagraph"/>
        <w:numPr>
          <w:ilvl w:val="0"/>
          <w:numId w:val="2"/>
        </w:numPr>
        <w:spacing w:after="80" w:line="276"/>
      </w:pPr>
      <w:r>
        <w:rPr>
          <w:rFonts w:ascii="Georgia" w:cs="Georgia" w:eastAsia="Georgia" w:hAnsi="Georgia"/>
          <w:b/>
          <w:bCs/>
          <w:sz w:val="22"/>
          <w:szCs w:val="22"/>
        </w:rPr>
        <w:t xml:space="preserve">Venue legal name and address</w:t>
      </w:r>
      <w:r>
        <w:rPr>
          <w:rFonts w:ascii="Georgia" w:cs="Georgia" w:eastAsia="Georgia" w:hAnsi="Georgia"/>
          <w:sz w:val="22"/>
          <w:szCs w:val="22"/>
        </w:rPr>
        <w:t xml:space="preserve"> — the licensee name on the Tee &amp; Tap liquor license, not just the trade name.</w:t>
      </w:r>
    </w:p>
    <w:p>
      <w:pPr>
        <w:pStyle w:val="ListParagraph"/>
        <w:numPr>
          <w:ilvl w:val="0"/>
          <w:numId w:val="2"/>
        </w:numPr>
        <w:spacing w:after="80" w:line="276"/>
      </w:pPr>
      <w:r>
        <w:rPr>
          <w:rFonts w:ascii="Georgia" w:cs="Georgia" w:eastAsia="Georgia" w:hAnsi="Georgia"/>
          <w:b/>
          <w:bCs/>
          <w:sz w:val="22"/>
          <w:szCs w:val="22"/>
        </w:rPr>
        <w:t xml:space="preserve">Moderator full name</w:t>
      </w:r>
      <w:r>
        <w:rPr>
          <w:rFonts w:ascii="Georgia" w:cs="Georgia" w:eastAsia="Georgia" w:hAnsi="Georgia"/>
          <w:sz w:val="22"/>
          <w:szCs w:val="22"/>
        </w:rPr>
        <w:t xml:space="preserve"> — Mark's full legal name, for the Code of Conduct and the Day-of Sheet.</w:t>
      </w:r>
    </w:p>
    <w:p>
      <w:pPr>
        <w:pStyle w:val="ListParagraph"/>
        <w:numPr>
          <w:ilvl w:val="0"/>
          <w:numId w:val="2"/>
        </w:numPr>
        <w:spacing w:after="80" w:line="276"/>
      </w:pPr>
      <w:r>
        <w:rPr>
          <w:rFonts w:ascii="Georgia" w:cs="Georgia" w:eastAsia="Georgia" w:hAnsi="Georgia"/>
          <w:b/>
          <w:bCs/>
          <w:sz w:val="22"/>
          <w:szCs w:val="22"/>
        </w:rPr>
        <w:t xml:space="preserve">Payment method and timing</w:t>
      </w:r>
      <w:r>
        <w:rPr>
          <w:rFonts w:ascii="Georgia" w:cs="Georgia" w:eastAsia="Georgia" w:hAnsi="Georgia"/>
          <w:sz w:val="22"/>
          <w:szCs w:val="22"/>
        </w:rPr>
        <w:t xml:space="preserve"> — the rate is set in the Appearance Release at $35 per hour of time on site (about $105 for a typical three-hour taping). The payment method and the number of days to pay are still blank. Ask your attorney whether a flat $105 per taping is cleaner than an hourly rate; hourly pay reads more like wages, and the packet leans hard on panelists being guests, not workers.</w:t>
      </w:r>
    </w:p>
    <w:p>
      <w:pPr>
        <w:pStyle w:val="ListParagraph"/>
        <w:numPr>
          <w:ilvl w:val="0"/>
          <w:numId w:val="2"/>
        </w:numPr>
        <w:spacing w:after="80" w:line="276"/>
      </w:pPr>
      <w:r>
        <w:rPr>
          <w:rFonts w:ascii="Georgia" w:cs="Georgia" w:eastAsia="Georgia" w:hAnsi="Georgia"/>
          <w:b/>
          <w:bCs/>
          <w:sz w:val="22"/>
          <w:szCs w:val="22"/>
        </w:rPr>
        <w:t xml:space="preserve">Contact email</w:t>
      </w:r>
      <w:r>
        <w:rPr>
          <w:rFonts w:ascii="Georgia" w:cs="Georgia" w:eastAsia="Georgia" w:hAnsi="Georgia"/>
          <w:sz w:val="22"/>
          <w:szCs w:val="22"/>
        </w:rPr>
        <w:t xml:space="preserve"> — the packet uses legal@openpodtalk.com, which already appears on the website's privacy page. Make sure someone actually reads that inbox.</w:t>
      </w:r>
    </w:p>
    <w:p>
      <w:pPr>
        <w:pStyle w:val="ListParagraph"/>
        <w:numPr>
          <w:ilvl w:val="0"/>
          <w:numId w:val="2"/>
        </w:numPr>
        <w:spacing w:after="80" w:line="276"/>
      </w:pPr>
      <w:r>
        <w:rPr>
          <w:rFonts w:ascii="Georgia" w:cs="Georgia" w:eastAsia="Georgia" w:hAnsi="Georgia"/>
          <w:b/>
          <w:bCs/>
          <w:sz w:val="22"/>
          <w:szCs w:val="22"/>
        </w:rPr>
        <w:t xml:space="preserve">Insurance limits</w:t>
      </w:r>
      <w:r>
        <w:rPr>
          <w:rFonts w:ascii="Georgia" w:cs="Georgia" w:eastAsia="Georgia" w:hAnsi="Georgia"/>
          <w:sz w:val="22"/>
          <w:szCs w:val="22"/>
        </w:rPr>
        <w:t xml:space="preserve"> in the Location Release — fill in only after you have the policy.</w:t>
      </w:r>
    </w:p>
    <w:p>
      <w:pPr>
        <w:pStyle w:val="Heading2"/>
        <w:keepNext/>
        <w:spacing w:after="120" w:before="320"/>
      </w:pPr>
      <w:r>
        <w:rPr>
          <w:rFonts w:ascii="Arial" w:cs="Arial" w:eastAsia="Arial" w:hAnsi="Arial"/>
          <w:b/>
          <w:bCs/>
          <w:color w:val="111111"/>
          <w:sz w:val="24"/>
          <w:szCs w:val="24"/>
        </w:rPr>
        <w:t xml:space="preserve">Recommended signing workflow</w:t>
      </w:r>
    </w:p>
    <w:p>
      <w:pPr>
        <w:pStyle w:val="ListParagraph"/>
        <w:numPr>
          <w:ilvl w:val="0"/>
          <w:numId w:val="3"/>
        </w:numPr>
        <w:spacing w:after="80" w:line="276"/>
      </w:pPr>
      <w:r>
        <w:rPr>
          <w:rFonts w:ascii="Georgia" w:cs="Georgia" w:eastAsia="Georgia" w:hAnsi="Georgia"/>
          <w:b/>
          <w:bCs/>
          <w:sz w:val="22"/>
          <w:szCs w:val="22"/>
        </w:rPr>
        <w:t xml:space="preserve">Cast the panelist.</w:t>
      </w:r>
      <w:r>
        <w:rPr>
          <w:rFonts w:ascii="Georgia" w:cs="Georgia" w:eastAsia="Georgia" w:hAnsi="Georgia"/>
          <w:sz w:val="22"/>
          <w:szCs w:val="22"/>
        </w:rPr>
        <w:t xml:space="preserve"> After the screening call, send the casting confirmation email (see the Ads and Outreach Kit) with the e-signature envelope attached. Use one envelope containing documents 01 through 05 so nobody signs some and not others. DocuSign, Dropbox Sign, and PandaDoc all handle this; so does the free tier of Documenso.</w:t>
      </w:r>
    </w:p>
    <w:p>
      <w:pPr>
        <w:pStyle w:val="ListParagraph"/>
        <w:numPr>
          <w:ilvl w:val="0"/>
          <w:numId w:val="3"/>
        </w:numPr>
        <w:spacing w:after="80" w:line="276"/>
      </w:pPr>
      <w:r>
        <w:rPr>
          <w:rFonts w:ascii="Georgia" w:cs="Georgia" w:eastAsia="Georgia" w:hAnsi="Georgia"/>
          <w:b/>
          <w:bCs/>
          <w:sz w:val="22"/>
          <w:szCs w:val="22"/>
        </w:rPr>
        <w:t xml:space="preserve">Set a deadline of 48 hours before the taping.</w:t>
      </w:r>
      <w:r>
        <w:rPr>
          <w:rFonts w:ascii="Georgia" w:cs="Georgia" w:eastAsia="Georgia" w:hAnsi="Georgia"/>
          <w:sz w:val="22"/>
          <w:szCs w:val="22"/>
        </w:rPr>
        <w:t xml:space="preserve"> Anyone unsigned at that point is replaced by an alternate. Do not let anyone talk you into signing "after we film" — the recording consent must exist before the cameras roll.</w:t>
      </w:r>
    </w:p>
    <w:p>
      <w:pPr>
        <w:pStyle w:val="ListParagraph"/>
        <w:numPr>
          <w:ilvl w:val="0"/>
          <w:numId w:val="3"/>
        </w:numPr>
        <w:spacing w:after="80" w:line="276"/>
      </w:pPr>
      <w:r>
        <w:rPr>
          <w:rFonts w:ascii="Georgia" w:cs="Georgia" w:eastAsia="Georgia" w:hAnsi="Georgia"/>
          <w:b/>
          <w:bCs/>
          <w:sz w:val="22"/>
          <w:szCs w:val="22"/>
        </w:rPr>
        <w:t xml:space="preserve">Check-in at the door.</w:t>
      </w:r>
      <w:r>
        <w:rPr>
          <w:rFonts w:ascii="Georgia" w:cs="Georgia" w:eastAsia="Georgia" w:hAnsi="Georgia"/>
          <w:sz w:val="22"/>
          <w:szCs w:val="22"/>
        </w:rPr>
        <w:t xml:space="preserve"> The floor manager verifies photo ID against the Information Form, confirms the panelist is 18 or older, confirms the packet is signed, and reads the Code of Conduct summary aloud. Keep two printed copies of each document for anyone whose e-signature failed.</w:t>
      </w:r>
    </w:p>
    <w:p>
      <w:pPr>
        <w:pStyle w:val="ListParagraph"/>
        <w:numPr>
          <w:ilvl w:val="0"/>
          <w:numId w:val="3"/>
        </w:numPr>
        <w:spacing w:after="80" w:line="276"/>
      </w:pPr>
      <w:r>
        <w:rPr>
          <w:rFonts w:ascii="Georgia" w:cs="Georgia" w:eastAsia="Georgia" w:hAnsi="Georgia"/>
          <w:b/>
          <w:bCs/>
          <w:sz w:val="22"/>
          <w:szCs w:val="22"/>
        </w:rPr>
        <w:t xml:space="preserve">On-camera verbal confirmation.</w:t>
      </w:r>
      <w:r>
        <w:rPr>
          <w:rFonts w:ascii="Georgia" w:cs="Georgia" w:eastAsia="Georgia" w:hAnsi="Georgia"/>
          <w:sz w:val="22"/>
          <w:szCs w:val="22"/>
        </w:rPr>
        <w:t xml:space="preserve"> Before the first prompt, Mark reads the consent script from the Day-of Sheet and each panelist answers on the record. Note the timecode on the Day-of Sheet. This gives you three layers of consent: written, at check-in, and recorded.</w:t>
      </w:r>
    </w:p>
    <w:p>
      <w:pPr>
        <w:pStyle w:val="ListParagraph"/>
        <w:numPr>
          <w:ilvl w:val="0"/>
          <w:numId w:val="3"/>
        </w:numPr>
        <w:spacing w:after="80" w:line="276"/>
      </w:pPr>
      <w:r>
        <w:rPr>
          <w:rFonts w:ascii="Georgia" w:cs="Georgia" w:eastAsia="Georgia" w:hAnsi="Georgia"/>
          <w:b/>
          <w:bCs/>
          <w:sz w:val="22"/>
          <w:szCs w:val="22"/>
        </w:rPr>
        <w:t xml:space="preserve">File everything.</w:t>
      </w:r>
      <w:r>
        <w:rPr>
          <w:rFonts w:ascii="Georgia" w:cs="Georgia" w:eastAsia="Georgia" w:hAnsi="Georgia"/>
          <w:sz w:val="22"/>
          <w:szCs w:val="22"/>
        </w:rPr>
        <w:t xml:space="preserve"> Export signed PDFs into a folder named for the taping date. Keep them for as long as the content is published plus at least seven years. In the admin dashboard, tag each panelist's submission with the release version that they signed.</w:t>
      </w:r>
    </w:p>
    <w:p>
      <w:pPr>
        <w:pStyle w:val="ListParagraph"/>
        <w:numPr>
          <w:ilvl w:val="0"/>
          <w:numId w:val="3"/>
        </w:numPr>
        <w:spacing w:after="80" w:line="276"/>
      </w:pPr>
      <w:r>
        <w:rPr>
          <w:rFonts w:ascii="Georgia" w:cs="Georgia" w:eastAsia="Georgia" w:hAnsi="Georgia"/>
          <w:b/>
          <w:bCs/>
          <w:sz w:val="22"/>
          <w:szCs w:val="22"/>
        </w:rPr>
        <w:t xml:space="preserve">Pay the stipend after wrap,</w:t>
      </w:r>
      <w:r>
        <w:rPr>
          <w:rFonts w:ascii="Georgia" w:cs="Georgia" w:eastAsia="Georgia" w:hAnsi="Georgia"/>
          <w:sz w:val="22"/>
          <w:szCs w:val="22"/>
        </w:rPr>
        <w:t xml:space="preserve"> by the method in the Release, and collect a W-9 from anyone who could reach $600 in a calendar year.</w:t>
      </w:r>
    </w:p>
    <w:p>
      <w:pPr>
        <w:pStyle w:val="Heading2"/>
        <w:keepNext/>
        <w:spacing w:after="120" w:before="320"/>
      </w:pPr>
      <w:r>
        <w:rPr>
          <w:rFonts w:ascii="Arial" w:cs="Arial" w:eastAsia="Arial" w:hAnsi="Arial"/>
          <w:b/>
          <w:bCs/>
          <w:color w:val="111111"/>
          <w:sz w:val="24"/>
          <w:szCs w:val="24"/>
        </w:rPr>
        <w:t xml:space="preserve">Pennsylvania-specific notes for your attorney</w:t>
      </w:r>
    </w:p>
    <w:p>
      <w:pPr>
        <w:pStyle w:val="ListParagraph"/>
        <w:numPr>
          <w:ilvl w:val="0"/>
          <w:numId w:val="2"/>
        </w:numPr>
        <w:spacing w:after="80" w:line="276"/>
      </w:pPr>
      <w:r>
        <w:rPr>
          <w:rFonts w:ascii="Georgia" w:cs="Georgia" w:eastAsia="Georgia" w:hAnsi="Georgia"/>
          <w:b/>
          <w:bCs/>
          <w:sz w:val="22"/>
          <w:szCs w:val="22"/>
        </w:rPr>
        <w:t xml:space="preserve">Recording consent.</w:t>
      </w:r>
      <w:r>
        <w:rPr>
          <w:rFonts w:ascii="Georgia" w:cs="Georgia" w:eastAsia="Georgia" w:hAnsi="Georgia"/>
          <w:sz w:val="22"/>
          <w:szCs w:val="22"/>
        </w:rPr>
        <w:t xml:space="preserve"> Pennsylvania is an all-party consent state (18 Pa.C.S. § 5704). Every person whose voice is captured must consent. The Appearance Release covers panelists; the Filming Notice covers staff, crew, and anyone who walks in.</w:t>
      </w:r>
    </w:p>
    <w:p>
      <w:pPr>
        <w:pStyle w:val="ListParagraph"/>
        <w:numPr>
          <w:ilvl w:val="0"/>
          <w:numId w:val="2"/>
        </w:numPr>
        <w:spacing w:after="80" w:line="276"/>
      </w:pPr>
      <w:r>
        <w:rPr>
          <w:rFonts w:ascii="Georgia" w:cs="Georgia" w:eastAsia="Georgia" w:hAnsi="Georgia"/>
          <w:b/>
          <w:bCs/>
          <w:sz w:val="22"/>
          <w:szCs w:val="22"/>
        </w:rPr>
        <w:t xml:space="preserve">Right of publicity.</w:t>
      </w:r>
      <w:r>
        <w:rPr>
          <w:rFonts w:ascii="Georgia" w:cs="Georgia" w:eastAsia="Georgia" w:hAnsi="Georgia"/>
          <w:sz w:val="22"/>
          <w:szCs w:val="22"/>
        </w:rPr>
        <w:t xml:space="preserve"> Pennsylvania has a statutory right of publicity (42 Pa.C.S. § 8316) that requires written consent for commercial use of a person's name or likeness. The Release provides it.</w:t>
      </w:r>
    </w:p>
    <w:p>
      <w:pPr>
        <w:pStyle w:val="ListParagraph"/>
        <w:numPr>
          <w:ilvl w:val="0"/>
          <w:numId w:val="2"/>
        </w:numPr>
        <w:spacing w:after="80" w:line="276"/>
      </w:pPr>
      <w:r>
        <w:rPr>
          <w:rFonts w:ascii="Georgia" w:cs="Georgia" w:eastAsia="Georgia" w:hAnsi="Georgia"/>
          <w:b/>
          <w:bCs/>
          <w:sz w:val="22"/>
          <w:szCs w:val="22"/>
        </w:rPr>
        <w:t xml:space="preserve">Liability waivers.</w:t>
      </w:r>
      <w:r>
        <w:rPr>
          <w:rFonts w:ascii="Georgia" w:cs="Georgia" w:eastAsia="Georgia" w:hAnsi="Georgia"/>
          <w:sz w:val="22"/>
          <w:szCs w:val="22"/>
        </w:rPr>
        <w:t xml:space="preserve"> Pennsylvania enforces waivers that are clear, conspicuous, and freely signed, but construes them strictly against the drafter and will not enforce them against gross negligence or recklessness. The Waiver is drafted to those limits; keep the bold, all-caps headings when you edit.</w:t>
      </w:r>
    </w:p>
    <w:p>
      <w:pPr>
        <w:pStyle w:val="ListParagraph"/>
        <w:numPr>
          <w:ilvl w:val="0"/>
          <w:numId w:val="2"/>
        </w:numPr>
        <w:spacing w:after="80" w:line="276"/>
      </w:pPr>
      <w:r>
        <w:rPr>
          <w:rFonts w:ascii="Georgia" w:cs="Georgia" w:eastAsia="Georgia" w:hAnsi="Georgia"/>
          <w:b/>
          <w:bCs/>
          <w:sz w:val="22"/>
          <w:szCs w:val="22"/>
        </w:rPr>
        <w:t xml:space="preserve">Alcohol.</w:t>
      </w:r>
      <w:r>
        <w:rPr>
          <w:rFonts w:ascii="Georgia" w:cs="Georgia" w:eastAsia="Georgia" w:hAnsi="Georgia"/>
          <w:sz w:val="22"/>
          <w:szCs w:val="22"/>
        </w:rPr>
        <w:t xml:space="preserve"> Tee &amp; Tap is the liquor licensee and remains responsible for responsible service under the Liquor Code (47 P.S. § 4-497). No waiver signed by a panelist changes that. The packet's rule is that panelists arrive sober, and the bar may serve them at the table once recording starts, under its normal responsible-service rules; Producer, the moderator, or the floor manager can stop service to, or remove, anyone who becomes impaired. Alcohol on camera during a political argument is the biggest liability question in this packet, so ask specifically whether the waiver, the code of conduct, and the location release handle it well enough.</w:t>
      </w:r>
    </w:p>
    <w:p>
      <w:pPr>
        <w:pStyle w:val="ListParagraph"/>
        <w:numPr>
          <w:ilvl w:val="0"/>
          <w:numId w:val="2"/>
        </w:numPr>
        <w:spacing w:after="80" w:line="276"/>
      </w:pPr>
      <w:r>
        <w:rPr>
          <w:rFonts w:ascii="Georgia" w:cs="Georgia" w:eastAsia="Georgia" w:hAnsi="Georgia"/>
          <w:b/>
          <w:bCs/>
          <w:sz w:val="22"/>
          <w:szCs w:val="22"/>
        </w:rPr>
        <w:t xml:space="preserve">Confidentiality limits.</w:t>
      </w:r>
      <w:r>
        <w:rPr>
          <w:rFonts w:ascii="Georgia" w:cs="Georgia" w:eastAsia="Georgia" w:hAnsi="Georgia"/>
          <w:sz w:val="22"/>
          <w:szCs w:val="22"/>
        </w:rPr>
        <w:t xml:space="preserve"> The federal Speak Out Act makes pre-dispute confidentiality clauses unenforceable as to sexual harassment or assault disputes. The Confidentiality Agreement carves this out, along with reports to law enforcement and regulators.</w:t>
      </w:r>
    </w:p>
    <w:p>
      <w:pPr>
        <w:pStyle w:val="ListParagraph"/>
        <w:numPr>
          <w:ilvl w:val="0"/>
          <w:numId w:val="2"/>
        </w:numPr>
        <w:spacing w:after="80" w:line="276"/>
      </w:pPr>
      <w:r>
        <w:rPr>
          <w:rFonts w:ascii="Georgia" w:cs="Georgia" w:eastAsia="Georgia" w:hAnsi="Georgia"/>
          <w:b/>
          <w:bCs/>
          <w:sz w:val="22"/>
          <w:szCs w:val="22"/>
        </w:rPr>
        <w:t xml:space="preserve">Arbitration or courts.</w:t>
      </w:r>
      <w:r>
        <w:rPr>
          <w:rFonts w:ascii="Georgia" w:cs="Georgia" w:eastAsia="Georgia" w:hAnsi="Georgia"/>
          <w:sz w:val="22"/>
          <w:szCs w:val="22"/>
        </w:rPr>
        <w:t xml:space="preserve"> The website's existing Caller Release (v1.0) sends disputes to AAA arbitration. This packet uses Allegheny County courts with a jury waiver, because arbitration filing fees usually fall on the business and can exceed the value of a small claim. Pick one approach and use it everywhere. An arbitration clause you can swap in is at the end of this document.</w:t>
      </w:r>
    </w:p>
    <w:p>
      <w:pPr>
        <w:pStyle w:val="ListParagraph"/>
        <w:numPr>
          <w:ilvl w:val="0"/>
          <w:numId w:val="2"/>
        </w:numPr>
        <w:spacing w:after="80" w:line="276"/>
      </w:pPr>
      <w:r>
        <w:rPr>
          <w:rFonts w:ascii="Georgia" w:cs="Georgia" w:eastAsia="Georgia" w:hAnsi="Georgia"/>
          <w:b/>
          <w:bCs/>
          <w:sz w:val="22"/>
          <w:szCs w:val="22"/>
        </w:rPr>
        <w:t xml:space="preserve">Employment status.</w:t>
      </w:r>
      <w:r>
        <w:rPr>
          <w:rFonts w:ascii="Georgia" w:cs="Georgia" w:eastAsia="Georgia" w:hAnsi="Georgia"/>
          <w:sz w:val="22"/>
          <w:szCs w:val="22"/>
        </w:rPr>
        <w:t xml:space="preserve"> Panelists are guests, not employees or contractors performing services for hire. Keep the stipend modest and the language of "guest appearance" consistent so nobody argues otherwise.</w:t>
      </w:r>
    </w:p>
    <w:p>
      <w:pPr>
        <w:pStyle w:val="Heading2"/>
        <w:keepNext/>
        <w:spacing w:after="120" w:before="320"/>
      </w:pPr>
      <w:r>
        <w:rPr>
          <w:rFonts w:ascii="Arial" w:cs="Arial" w:eastAsia="Arial" w:hAnsi="Arial"/>
          <w:b/>
          <w:bCs/>
          <w:color w:val="111111"/>
          <w:sz w:val="24"/>
          <w:szCs w:val="24"/>
        </w:rPr>
        <w:t xml:space="preserve">Insurance to ask your broker about</w:t>
      </w:r>
    </w:p>
    <w:p>
      <w:pPr>
        <w:pStyle w:val="ListParagraph"/>
        <w:numPr>
          <w:ilvl w:val="0"/>
          <w:numId w:val="2"/>
        </w:numPr>
        <w:spacing w:after="80" w:line="276"/>
      </w:pPr>
      <w:r>
        <w:rPr>
          <w:rFonts w:ascii="Georgia" w:cs="Georgia" w:eastAsia="Georgia" w:hAnsi="Georgia"/>
          <w:b/>
          <w:bCs/>
          <w:sz w:val="22"/>
          <w:szCs w:val="22"/>
        </w:rPr>
        <w:t xml:space="preserve">Commercial general liability</w:t>
      </w:r>
      <w:r>
        <w:rPr>
          <w:rFonts w:ascii="Georgia" w:cs="Georgia" w:eastAsia="Georgia" w:hAnsi="Georgia"/>
          <w:sz w:val="22"/>
          <w:szCs w:val="22"/>
        </w:rPr>
        <w:t xml:space="preserve"> for the production itself, naming Tee &amp; Tap as an additional insured on taping days (the bar's own policy may exclude filming or third-party productions — ask).</w:t>
      </w:r>
    </w:p>
    <w:p>
      <w:pPr>
        <w:pStyle w:val="ListParagraph"/>
        <w:numPr>
          <w:ilvl w:val="0"/>
          <w:numId w:val="2"/>
        </w:numPr>
        <w:spacing w:after="80" w:line="276"/>
      </w:pPr>
      <w:r>
        <w:rPr>
          <w:rFonts w:ascii="Georgia" w:cs="Georgia" w:eastAsia="Georgia" w:hAnsi="Georgia"/>
          <w:b/>
          <w:bCs/>
          <w:sz w:val="22"/>
          <w:szCs w:val="22"/>
        </w:rPr>
        <w:t xml:space="preserve">Media liability (errors and omissions)</w:t>
      </w:r>
      <w:r>
        <w:rPr>
          <w:rFonts w:ascii="Georgia" w:cs="Georgia" w:eastAsia="Georgia" w:hAnsi="Georgia"/>
          <w:sz w:val="22"/>
          <w:szCs w:val="22"/>
        </w:rPr>
        <w:t xml:space="preserve"> covering defamation, invasion of privacy, and intellectual property claims arising from what panelists say on air. This is the policy most podcast producers skip and most regret skipping.</w:t>
      </w:r>
    </w:p>
    <w:p>
      <w:pPr>
        <w:pStyle w:val="ListParagraph"/>
        <w:numPr>
          <w:ilvl w:val="0"/>
          <w:numId w:val="2"/>
        </w:numPr>
        <w:spacing w:after="80" w:line="276"/>
      </w:pPr>
      <w:r>
        <w:rPr>
          <w:rFonts w:ascii="Georgia" w:cs="Georgia" w:eastAsia="Georgia" w:hAnsi="Georgia"/>
          <w:b/>
          <w:bCs/>
          <w:sz w:val="22"/>
          <w:szCs w:val="22"/>
        </w:rPr>
        <w:t xml:space="preserve">Equipment coverage</w:t>
      </w:r>
      <w:r>
        <w:rPr>
          <w:rFonts w:ascii="Georgia" w:cs="Georgia" w:eastAsia="Georgia" w:hAnsi="Georgia"/>
          <w:sz w:val="22"/>
          <w:szCs w:val="22"/>
        </w:rPr>
        <w:t xml:space="preserve"> for cameras, audio gear, and lighting on location.</w:t>
      </w:r>
    </w:p>
    <w:p>
      <w:pPr>
        <w:pStyle w:val="Heading2"/>
        <w:keepNext/>
        <w:spacing w:after="120" w:before="320"/>
      </w:pPr>
      <w:r>
        <w:rPr>
          <w:rFonts w:ascii="Arial" w:cs="Arial" w:eastAsia="Arial" w:hAnsi="Arial"/>
          <w:b/>
          <w:bCs/>
          <w:color w:val="111111"/>
          <w:sz w:val="24"/>
          <w:szCs w:val="24"/>
        </w:rPr>
        <w:t xml:space="preserve">Things not to do</w:t>
      </w:r>
    </w:p>
    <w:p>
      <w:pPr>
        <w:pStyle w:val="ListParagraph"/>
        <w:numPr>
          <w:ilvl w:val="0"/>
          <w:numId w:val="2"/>
        </w:numPr>
        <w:spacing w:after="80" w:line="276"/>
      </w:pPr>
      <w:r>
        <w:rPr>
          <w:rFonts w:ascii="Georgia" w:cs="Georgia" w:eastAsia="Georgia" w:hAnsi="Georgia"/>
          <w:sz w:val="22"/>
          <w:szCs w:val="22"/>
        </w:rPr>
        <w:t xml:space="preserve">Do not let anyone sit at the table without a fully signed packet on file.</w:t>
      </w:r>
    </w:p>
    <w:p>
      <w:pPr>
        <w:pStyle w:val="ListParagraph"/>
        <w:numPr>
          <w:ilvl w:val="0"/>
          <w:numId w:val="2"/>
        </w:numPr>
        <w:spacing w:after="80" w:line="276"/>
      </w:pPr>
      <w:r>
        <w:rPr>
          <w:rFonts w:ascii="Georgia" w:cs="Georgia" w:eastAsia="Georgia" w:hAnsi="Georgia"/>
          <w:sz w:val="22"/>
          <w:szCs w:val="22"/>
        </w:rPr>
        <w:t xml:space="preserve">Do not seat a panelist who arrives impaired, and do not let table service continue after Mark or the floor manager has said stop.</w:t>
      </w:r>
    </w:p>
    <w:p>
      <w:pPr>
        <w:pStyle w:val="ListParagraph"/>
        <w:numPr>
          <w:ilvl w:val="0"/>
          <w:numId w:val="2"/>
        </w:numPr>
        <w:spacing w:after="80" w:line="276"/>
      </w:pPr>
      <w:r>
        <w:rPr>
          <w:rFonts w:ascii="Georgia" w:cs="Georgia" w:eastAsia="Georgia" w:hAnsi="Georgia"/>
          <w:sz w:val="22"/>
          <w:szCs w:val="22"/>
        </w:rPr>
        <w:t xml:space="preserve">Do not promise a panelist approval over the edit, a guaranteed air date, or the removal of an episode. The Release says none of those exist; do not undercut it in email or in person.</w:t>
      </w:r>
    </w:p>
    <w:p>
      <w:pPr>
        <w:pStyle w:val="ListParagraph"/>
        <w:numPr>
          <w:ilvl w:val="0"/>
          <w:numId w:val="2"/>
        </w:numPr>
        <w:spacing w:after="80" w:line="276"/>
      </w:pPr>
      <w:r>
        <w:rPr>
          <w:rFonts w:ascii="Georgia" w:cs="Georgia" w:eastAsia="Georgia" w:hAnsi="Georgia"/>
          <w:sz w:val="22"/>
          <w:szCs w:val="22"/>
        </w:rPr>
        <w:t xml:space="preserve">Do not collect more personal information than the Information Form asks for, and do not share panelists' contact details with other panelists.</w:t>
      </w:r>
    </w:p>
    <w:p>
      <w:pPr>
        <w:pStyle w:val="ListParagraph"/>
        <w:numPr>
          <w:ilvl w:val="0"/>
          <w:numId w:val="2"/>
        </w:numPr>
        <w:spacing w:after="80" w:line="276"/>
      </w:pPr>
      <w:r>
        <w:rPr>
          <w:rFonts w:ascii="Georgia" w:cs="Georgia" w:eastAsia="Georgia" w:hAnsi="Georgia"/>
          <w:sz w:val="22"/>
          <w:szCs w:val="22"/>
        </w:rPr>
        <w:t xml:space="preserve">Do not edit the Release's carve-out for fabricated statements. It is what makes the rest of the waiver reasonable.</w:t>
      </w:r>
    </w:p>
    <w:p>
      <w:r>
        <w:br w:type="page"/>
      </w:r>
    </w:p>
    <w:p>
      <w:pPr>
        <w:pStyle w:val="Heading2"/>
        <w:keepNext/>
        <w:spacing w:after="120" w:before="320"/>
      </w:pPr>
      <w:r>
        <w:rPr>
          <w:rFonts w:ascii="Arial" w:cs="Arial" w:eastAsia="Arial" w:hAnsi="Arial"/>
          <w:b/>
          <w:bCs/>
          <w:color w:val="111111"/>
          <w:sz w:val="24"/>
          <w:szCs w:val="24"/>
        </w:rPr>
        <w:t xml:space="preserve">Optional alternative clause: binding arbitration</w:t>
      </w:r>
    </w:p>
    <w:p>
      <w:pPr>
        <w:spacing w:after="140" w:line="276"/>
        <w:jc w:val="left"/>
      </w:pPr>
      <w:r>
        <w:rPr>
          <w:rFonts w:ascii="Georgia" w:cs="Georgia" w:eastAsia="Georgia" w:hAnsi="Georgia"/>
          <w:sz w:val="22"/>
          <w:szCs w:val="22"/>
        </w:rPr>
        <w:t xml:space="preserve">If your attorney prefers arbitration for consistency with the website's Caller Release, replace the "Governing law and venue" paragraph in each agreement with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24"/>
              <w:bottom w:val="single" w:color="999999" w:sz="4"/>
              <w:right w:val="single" w:color="999999" w:sz="4"/>
            </w:tcBorders>
            <w:shd w:fill="F4F4F4" w:color="auto" w:val="clear"/>
            <w:tcMar>
              <w:top w:type="dxa" w:w="140"/>
              <w:left w:type="dxa" w:w="200"/>
              <w:bottom w:type="dxa" w:w="140"/>
              <w:right w:type="dxa" w:w="200"/>
            </w:tcMar>
          </w:tcPr>
          <w:p>
            <w:pPr>
              <w:spacing w:after="80" w:line="264"/>
            </w:pPr>
            <w:r>
              <w:rPr>
                <w:rFonts w:ascii="Georgia" w:cs="Georgia" w:eastAsia="Georgia" w:hAnsi="Georgia"/>
                <w:b/>
                <w:bCs/>
                <w:sz w:val="20"/>
                <w:szCs w:val="20"/>
              </w:rPr>
              <w:t xml:space="preserve">Governing law and dispute resolution.</w:t>
            </w:r>
            <w:r>
              <w:rPr>
                <w:rFonts w:ascii="Georgia" w:cs="Georgia" w:eastAsia="Georgia" w:hAnsi="Georgia"/>
                <w:sz w:val="20"/>
                <w:szCs w:val="20"/>
              </w:rPr>
              <w:t xml:space="preserve"> Pennsylvania law governs this Agreement. Any dispute arising out of or relating to this Agreement or Panelist's participation in the Program will be resolved by binding arbitration administered by the American Arbitration Association under its Commercial Arbitration Rules, before a single arbitrator, in Pittsburgh, Pennsylvania. Judgment on the award may be entered in any court with jurisdiction. Either Party may seek temporary injunctive relief in court to protect intellectual property or confidential information. </w:t>
            </w:r>
            <w:r>
              <w:rPr>
                <w:rFonts w:ascii="Georgia" w:cs="Georgia" w:eastAsia="Georgia" w:hAnsi="Georgia"/>
                <w:b/>
                <w:bCs/>
                <w:sz w:val="20"/>
                <w:szCs w:val="20"/>
              </w:rPr>
              <w:t xml:space="preserve">THE PARTIES WAIVE ANY RIGHT TO A JURY TRIAL AND TO PARTICIPATE IN A CLASS OR REPRESENTATIVE ACTION.</w:t>
            </w:r>
          </w:p>
        </w:tc>
      </w:tr>
    </w:tbl>
    <w:p>
      <w:pPr>
        <w:spacing w:after="120"/>
      </w:pPr>
    </w:p>
    <w:p>
      <w:pPr>
        <w:spacing w:after="140" w:line="276"/>
        <w:jc w:val="left"/>
      </w:pPr>
      <w:r>
        <w:rPr>
          <w:rFonts w:ascii="Georgia" w:cs="Georgia" w:eastAsia="Georgia" w:hAnsi="Georgia"/>
          <w:color w:val="666666"/>
          <w:sz w:val="18"/>
          <w:szCs w:val="18"/>
        </w:rPr>
        <w:t xml:space="preserve">Prepared September 8, 2026 for Open Pod Talk. Drafts for attorney review; not legal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Panel Packet v1.0 — September 2026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Open Pod Talk  ·  Read Me First — Panelist Legal Packet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sz w:val="40"/>
      <w:szCs w:val="40"/>
    </w:rPr>
  </w:style>
  <w:style w:type="paragraph" w:styleId="Heading2">
    <w:name w:val="Heading 2"/>
    <w:basedOn w:val="Normal"/>
    <w:next w:val="Normal"/>
    <w:qFormat/>
    <w:pPr>
      <w:spacing w:after="120" w:before="320"/>
      <w:outlineLvl w:val="1"/>
    </w:pPr>
    <w:rPr>
      <w:rFonts w:ascii="Arial" w:cs="Arial" w:eastAsia="Arial" w:hAnsi="Arial"/>
      <w:b/>
      <w:bCs/>
      <w:sz w:val="24"/>
      <w:szCs w:val="24"/>
    </w:rPr>
  </w:style>
  <w:style w:type="paragraph" w:styleId="Heading3">
    <w:name w:val="Heading 3"/>
    <w:basedOn w:val="Normal"/>
    <w:next w:val="Normal"/>
    <w:qFormat/>
    <w:pPr>
      <w:spacing w:after="80" w:before="200"/>
      <w:outlineLvl w:val="2"/>
    </w:pPr>
    <w:rPr>
      <w:rFonts w:ascii="Arial" w:cs="Arial" w:eastAsia="Arial" w:hAnsi="Arial"/>
      <w:b/>
      <w:bCs/>
      <w:color w:val="FF66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 Me First — Panelist Legal Packet</dc:title>
  <dc:creator>Open Pod Talk</dc:creator>
  <dc:description>Read Me First — Panelist Legal Packet</dc:description>
  <cp:lastModifiedBy>Un-named</cp:lastModifiedBy>
  <cp:revision>1</cp:revision>
  <dcterms:created xsi:type="dcterms:W3CDTF">2026-09-09T15:15:07.218Z</dcterms:created>
  <dcterms:modified xsi:type="dcterms:W3CDTF">2026-09-09T15:15:07.218Z</dcterms:modified>
</cp:coreProperties>
</file>

<file path=docProps/custom.xml><?xml version="1.0" encoding="utf-8"?>
<Properties xmlns="http://schemas.openxmlformats.org/officeDocument/2006/custom-properties" xmlns:vt="http://schemas.openxmlformats.org/officeDocument/2006/docPropsVTypes"/>
</file>