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1B365D"/>
          <w:sz w:val="30"/>
        </w:rPr>
        <w:t>CÔNG TY CỔ PHẦN CÔNG NGHỆ XÂY DỰNG TÂN THÀNH CÔNG</w:t>
      </w:r>
    </w:p>
    <w:p>
      <w:pPr>
        <w:spacing w:after="30" w:line="259" w:lineRule="auto"/>
      </w:pPr>
      <w:r>
        <w:rPr>
          <w:b/>
          <w:color w:val="333333"/>
          <w:sz w:val="20"/>
        </w:rPr>
        <w:t>TAN THANH CONG CONSTRUCTION TECHNOLOGY JSC (AIDC CORP)</w:t>
      </w:r>
    </w:p>
    <w:p>
      <w:pPr>
        <w:spacing w:before="40" w:after="40"/>
      </w:pPr>
    </w:p>
    <w:p>
      <w:pPr>
        <w:spacing w:before="100" w:after="40"/>
      </w:pPr>
      <w:r>
        <w:rPr>
          <w:b/>
          <w:color w:val="0056B3"/>
          <w:sz w:val="24"/>
        </w:rPr>
        <w:t>CORPORATE BROCHURE 2026</w:t>
      </w:r>
    </w:p>
    <w:p>
      <w:pPr>
        <w:spacing w:after="30" w:line="259" w:lineRule="auto"/>
      </w:pPr>
      <w:r>
        <w:rPr>
          <w:color w:val="333333"/>
          <w:sz w:val="20"/>
        </w:rPr>
        <w:t>"Chất Lượng Vững Bền – Công Nghệ Tiên Phong – Chuẩn Mực ESG"</w:t>
      </w:r>
    </w:p>
    <w:p>
      <w:pPr>
        <w:spacing w:after="30" w:line="259" w:lineRule="auto"/>
      </w:pPr>
      <w:r>
        <w:rPr>
          <w:color w:val="333333"/>
          <w:sz w:val="20"/>
        </w:rPr>
        <w:t>(Building Quality – Pioneering Technology – ESG Excellence)</w:t>
      </w:r>
    </w:p>
    <w:p>
      <w:pPr>
        <w:spacing w:after="30" w:line="259" w:lineRule="auto"/>
      </w:pPr>
      <w:r>
        <w:rPr>
          <w:b/>
          <w:color w:val="333333"/>
          <w:sz w:val="20"/>
        </w:rPr>
        <w:t>TỔNG THẦU EPC CÔNG NGHIỆP XANH &amp; HẠ TẦNG TIÊU CHUẨN ESG</w:t>
      </w:r>
    </w:p>
    <w:p>
      <w:pPr>
        <w:spacing w:after="30" w:line="259" w:lineRule="auto"/>
      </w:pPr>
      <w:r>
        <w:rPr>
          <w:color w:val="333333"/>
          <w:sz w:val="20"/>
        </w:rPr>
        <w:t>(Leading Green Industrial EPC &amp; Infrastructure General Contractor)</w:t>
      </w:r>
    </w:p>
    <w:p>
      <w:pPr>
        <w:spacing w:before="40" w:after="40"/>
      </w:pPr>
    </w:p>
    <w:p>
      <w:pPr>
        <w:spacing w:before="100" w:after="40"/>
      </w:pPr>
      <w:r>
        <w:rPr>
          <w:b/>
          <w:color w:val="0056B3"/>
          <w:sz w:val="24"/>
        </w:rPr>
        <w:t>I. THƯ NGỎ BAN LÃNH ĐẠO &amp; TẦM NHÌN PHÁT TRIỂN</w:t>
      </w:r>
    </w:p>
    <w:p>
      <w:pPr>
        <w:spacing w:after="30" w:line="259" w:lineRule="auto"/>
      </w:pPr>
      <w:r>
        <w:rPr>
          <w:color w:val="333333"/>
          <w:sz w:val="20"/>
        </w:rPr>
        <w:t>Kính gửi Quý Chủ đầu tư, Quý Đối tác và Các Ban Quản lý Khu Công nghiệp!</w:t>
      </w:r>
    </w:p>
    <w:p>
      <w:pPr>
        <w:spacing w:after="30" w:line="259" w:lineRule="auto"/>
      </w:pPr>
      <w:r>
        <w:rPr>
          <w:color w:val="333333"/>
          <w:sz w:val="20"/>
        </w:rPr>
        <w:t xml:space="preserve">Trong bối cảnh toàn cầu hóa và làn sóng đầu tư FDI chuyển dịch mạnh mẽ vào Việt Nam, ngành xây dựng công nghiệp đang đứng trước những chuẩn mực mới về </w:t>
      </w:r>
      <w:r>
        <w:rPr>
          <w:b/>
          <w:color w:val="333333"/>
          <w:sz w:val="20"/>
        </w:rPr>
        <w:t>Tiến độ – An toàn – Tiêu chuẩn Công trình Xanh ESG</w:t>
      </w:r>
      <w:r>
        <w:rPr>
          <w:color w:val="333333"/>
          <w:sz w:val="20"/>
        </w:rPr>
        <w:t>.</w:t>
      </w:r>
    </w:p>
    <w:p>
      <w:pPr>
        <w:spacing w:after="30" w:line="259" w:lineRule="auto"/>
      </w:pPr>
      <w:r>
        <w:rPr>
          <w:color w:val="333333"/>
          <w:sz w:val="20"/>
        </w:rPr>
        <w:t>Được thành lập từ năm 2015, Công ty Cổ phần Công nghệ Xây dựng Tân Thành Công (AIDC Corp) khởi đầu với khát vọng mang đến những công trình chất lượng vượt trội. Trải qua hơn 10 năm phát triển, chúng tôi tự hào khẳng định vị thế là một trong những Tổng thầu EPC uy tín, đồng hành cùng các tập đoàn đa quốc gia hiện thực hóa các nhà máy hiện đại và bền vững.</w:t>
      </w:r>
    </w:p>
    <w:p>
      <w:pPr>
        <w:spacing w:after="30" w:line="259" w:lineRule="auto"/>
      </w:pPr>
      <w:r>
        <w:rPr>
          <w:color w:val="333333"/>
          <w:sz w:val="20"/>
        </w:rPr>
        <w:t>Chúng tôi tin rằng: Lòng tin của khách hàng không đến từ lời nói, mà đến từ sự chính xác trong từng liên kết bu lông, sự nghiêm ngặt trên công trường và cam kết bàn giao đúng hẹn.</w:t>
      </w:r>
    </w:p>
    <w:p>
      <w:pPr>
        <w:spacing w:after="30" w:line="259" w:lineRule="auto"/>
      </w:pPr>
      <w:r>
        <w:rPr>
          <w:color w:val="333333"/>
          <w:sz w:val="20"/>
        </w:rPr>
        <w:t>Trân trọng,</w:t>
      </w:r>
    </w:p>
    <w:p>
      <w:pPr>
        <w:spacing w:after="30" w:line="259" w:lineRule="auto"/>
      </w:pPr>
      <w:r>
        <w:rPr>
          <w:b/>
          <w:color w:val="333333"/>
          <w:sz w:val="20"/>
        </w:rPr>
        <w:t>CÔNG TY CỔ PHẦN CÔNG NGHỆ XÂY DỰNG TÂN THÀNH CÔNG</w:t>
      </w:r>
    </w:p>
    <w:p>
      <w:pPr>
        <w:spacing w:after="30" w:line="259" w:lineRule="auto"/>
      </w:pPr>
      <w:r>
        <w:rPr>
          <w:b/>
          <w:color w:val="333333"/>
          <w:sz w:val="20"/>
        </w:rPr>
        <w:t>TỔNG GIÁM ĐỐC</w:t>
      </w:r>
    </w:p>
    <w:p>
      <w:pPr>
        <w:spacing w:after="30" w:line="259" w:lineRule="auto"/>
      </w:pPr>
      <w:r>
        <w:rPr>
          <w:b/>
          <w:color w:val="333333"/>
          <w:sz w:val="20"/>
        </w:rPr>
        <w:t>Ông PHẠM HUY TÂN</w:t>
      </w:r>
    </w:p>
    <w:p>
      <w:pPr>
        <w:spacing w:before="40" w:after="40"/>
      </w:pPr>
    </w:p>
    <w:p>
      <w:pPr>
        <w:spacing w:before="80" w:after="30"/>
      </w:pPr>
      <w:r>
        <w:rPr>
          <w:b/>
          <w:color w:val="1B365D"/>
          <w:sz w:val="21"/>
        </w:rPr>
        <w:t>TẦM NHÌN - SỨ MỆNH - GIÁ TRỊ CỐT LÕI</w:t>
      </w:r>
    </w:p>
    <w:p>
      <w:pPr>
        <w:pStyle w:val="ListBullet"/>
        <w:spacing w:after="30" w:line="259" w:lineRule="auto"/>
      </w:pPr>
      <w:r>
        <w:rPr>
          <w:b/>
          <w:color w:val="333333"/>
          <w:sz w:val="20"/>
        </w:rPr>
        <w:t>Sứ mệnh (Mission):</w:t>
      </w:r>
      <w:r>
        <w:rPr>
          <w:color w:val="333333"/>
          <w:sz w:val="20"/>
        </w:rPr>
        <w:t xml:space="preserve"> Cung cấp các giải pháp kỹ thuật ưu việt, an toàn và tiết kiệm năng lượng, góp phần thúc đẩy sự phát triển bền vững của ngành công nghiệp Việt Nam.</w:t>
      </w:r>
    </w:p>
    <w:p>
      <w:pPr>
        <w:pStyle w:val="ListBullet"/>
        <w:spacing w:after="30" w:line="259" w:lineRule="auto"/>
      </w:pPr>
      <w:r>
        <w:rPr>
          <w:b/>
          <w:color w:val="333333"/>
          <w:sz w:val="20"/>
        </w:rPr>
        <w:t>Tầm nhìn (Vision):</w:t>
      </w:r>
      <w:r>
        <w:rPr>
          <w:color w:val="333333"/>
          <w:sz w:val="20"/>
        </w:rPr>
        <w:t xml:space="preserve"> Trở thành đối tác tin cậy hàng đầu trong lĩnh vực Tổng thầu EPC Công nghiệp Xanh tại Việt Nam và vươn tầm khu vực Đông Nam Á.</w:t>
      </w:r>
    </w:p>
    <w:p>
      <w:pPr>
        <w:pStyle w:val="ListBullet"/>
        <w:spacing w:after="30" w:line="259" w:lineRule="auto"/>
      </w:pPr>
      <w:r>
        <w:rPr>
          <w:b/>
          <w:color w:val="333333"/>
          <w:sz w:val="20"/>
        </w:rPr>
        <w:t>Giá trị cốt lõi (Core Values):</w:t>
      </w:r>
    </w:p>
    <w:p>
      <w:pPr>
        <w:spacing w:after="30" w:line="259" w:lineRule="auto"/>
      </w:pPr>
      <w:r>
        <w:rPr>
          <w:b/>
          <w:color w:val="333333"/>
          <w:sz w:val="20"/>
        </w:rPr>
        <w:t>UY TÍN</w:t>
      </w:r>
      <w:r>
        <w:rPr>
          <w:color w:val="333333"/>
          <w:sz w:val="20"/>
        </w:rPr>
        <w:t xml:space="preserve"> (Prestige) – </w:t>
      </w:r>
      <w:r>
        <w:rPr>
          <w:b/>
          <w:color w:val="333333"/>
          <w:sz w:val="20"/>
        </w:rPr>
        <w:t>CHUYÊN NGHIỆP</w:t>
      </w:r>
      <w:r>
        <w:rPr>
          <w:color w:val="333333"/>
          <w:sz w:val="20"/>
        </w:rPr>
        <w:t xml:space="preserve"> (Professionalism) – </w:t>
      </w:r>
      <w:r>
        <w:rPr>
          <w:b/>
          <w:color w:val="333333"/>
          <w:sz w:val="20"/>
        </w:rPr>
        <w:t>SÁNG TẠO</w:t>
      </w:r>
      <w:r>
        <w:rPr>
          <w:color w:val="333333"/>
          <w:sz w:val="20"/>
        </w:rPr>
        <w:t xml:space="preserve"> (Innovation) – </w:t>
      </w:r>
      <w:r>
        <w:rPr>
          <w:b/>
          <w:color w:val="333333"/>
          <w:sz w:val="20"/>
        </w:rPr>
        <w:t>TẬN TÂM</w:t>
      </w:r>
      <w:r>
        <w:rPr>
          <w:color w:val="333333"/>
          <w:sz w:val="20"/>
        </w:rPr>
        <w:t xml:space="preserve"> (Dedication).</w:t>
      </w:r>
    </w:p>
    <w:p>
      <w:pPr>
        <w:spacing w:before="40" w:after="40"/>
      </w:pPr>
    </w:p>
    <w:p>
      <w:pPr>
        <w:spacing w:before="80" w:after="30"/>
      </w:pPr>
      <w:r>
        <w:rPr>
          <w:b/>
          <w:color w:val="1B365D"/>
          <w:sz w:val="21"/>
        </w:rPr>
        <w:t>BỘ 3 CAM KẾT VÀNG KHI BÀN GIAO CÔNG TRÌNH</w:t>
      </w:r>
    </w:p>
    <w:p>
      <w:pPr>
        <w:pStyle w:val="ListNumber"/>
        <w:spacing w:after="30" w:line="259" w:lineRule="auto"/>
      </w:pPr>
      <w:r>
        <w:rPr>
          <w:b/>
          <w:color w:val="333333"/>
          <w:sz w:val="20"/>
        </w:rPr>
        <w:t>100% ON-TIME DELIVERY (100% Đúng tiến độ bàn giao):</w:t>
      </w:r>
      <w:r>
        <w:rPr>
          <w:color w:val="333333"/>
          <w:sz w:val="20"/>
        </w:rPr>
        <w:t xml:space="preserve"> Tối ưu hóa thời gian thi công nhờ công nghệ kết cấu thép tiền chế gia công chính xác và quản lý số hóa BIM.</w:t>
      </w:r>
    </w:p>
    <w:p>
      <w:pPr>
        <w:pStyle w:val="ListNumber"/>
        <w:spacing w:after="30" w:line="259" w:lineRule="auto"/>
      </w:pPr>
      <w:r>
        <w:rPr>
          <w:b/>
          <w:color w:val="333333"/>
          <w:sz w:val="20"/>
        </w:rPr>
        <w:t>0% ACCIDENT SAFETY (100% Giờ làm việc an toàn):</w:t>
      </w:r>
      <w:r>
        <w:rPr>
          <w:color w:val="333333"/>
          <w:sz w:val="20"/>
        </w:rPr>
        <w:t xml:space="preserve"> Áp dụng hệ thống quản lý an toàn HSE chuẩn quốc tế, kiểm soát rủi ro nghiêm ngặt, chính sách Zero Accident.</w:t>
      </w:r>
    </w:p>
    <w:p>
      <w:pPr>
        <w:pStyle w:val="ListNumber"/>
        <w:spacing w:after="30" w:line="259" w:lineRule="auto"/>
      </w:pPr>
      <w:r>
        <w:rPr>
          <w:b/>
          <w:color w:val="333333"/>
          <w:sz w:val="20"/>
        </w:rPr>
        <w:t>ESG GREEN COMPLIANCE (Đạt chuẩn Công nghiệp Xanh):</w:t>
      </w:r>
      <w:r>
        <w:rPr>
          <w:color w:val="333333"/>
          <w:sz w:val="20"/>
        </w:rPr>
        <w:t xml:space="preserve"> Ưu tiên giải pháp giảm nhiệt tự nhiên, cách nhiệt Glasswool, vật liệu thân thiện môi trường và giảm dấu chân carbon.</w:t>
      </w:r>
    </w:p>
    <w:p>
      <w:pPr>
        <w:spacing w:before="40" w:after="40"/>
      </w:pPr>
    </w:p>
    <w:p>
      <w:pPr>
        <w:spacing w:before="100" w:after="40"/>
      </w:pPr>
      <w:r>
        <w:rPr>
          <w:b/>
          <w:color w:val="0056B3"/>
          <w:sz w:val="24"/>
        </w:rPr>
        <w:t>II. DỊCH VỤ CỐT LÕI &amp; GIẢI PHẪU KỸ THUẬT NHÀ XƯỞNG</w:t>
      </w:r>
    </w:p>
    <w:p>
      <w:pPr>
        <w:spacing w:before="80" w:after="30"/>
      </w:pPr>
      <w:r>
        <w:rPr>
          <w:b/>
          <w:color w:val="1B365D"/>
          <w:sz w:val="21"/>
        </w:rPr>
        <w:t>4 MẢNG DỊCH VỤ EPC TRỌN GÓI</w:t>
      </w:r>
    </w:p>
    <w:p>
      <w:pPr>
        <w:spacing w:after="30" w:line="259" w:lineRule="auto"/>
      </w:pPr>
      <w:r>
        <w:rPr>
          <w:color w:val="333333"/>
          <w:sz w:val="20"/>
        </w:rPr>
        <w:t>#### 1. Tư vấn Xúc tiến Đầu tư FDI (Investment Promotion)</w:t>
      </w:r>
    </w:p>
    <w:p>
      <w:pPr>
        <w:pStyle w:val="ListBullet"/>
        <w:spacing w:after="30" w:line="259" w:lineRule="auto"/>
      </w:pPr>
      <w:r>
        <w:rPr>
          <w:color w:val="333333"/>
          <w:sz w:val="20"/>
        </w:rPr>
        <w:t>Hỗ trợ Chủ đầu tư nước ngoài tìm kiếm địa điểm KCN phù hợp.</w:t>
      </w:r>
    </w:p>
    <w:p>
      <w:pPr>
        <w:pStyle w:val="ListBullet"/>
        <w:spacing w:after="30" w:line="259" w:lineRule="auto"/>
      </w:pPr>
      <w:r>
        <w:rPr>
          <w:color w:val="333333"/>
          <w:sz w:val="20"/>
        </w:rPr>
        <w:t>Tư vấn thủ tục pháp lý, Giấy phép Đầu tư (IRC), Giấy phép Xây dựng (GPXD), Thẩm duyệt PCCC &amp; Môi trường (DTM/GPMT).</w:t>
      </w:r>
    </w:p>
    <w:p>
      <w:pPr>
        <w:pStyle w:val="ListBullet"/>
        <w:spacing w:after="30" w:line="259" w:lineRule="auto"/>
      </w:pPr>
      <w:r>
        <w:rPr>
          <w:color w:val="333333"/>
          <w:sz w:val="20"/>
        </w:rPr>
        <w:t>Tối ưu hóa tổng mức đầu tư (Value Engineering).</w:t>
      </w:r>
    </w:p>
    <w:p>
      <w:pPr>
        <w:spacing w:after="30" w:line="259" w:lineRule="auto"/>
      </w:pPr>
      <w:r>
        <w:rPr>
          <w:color w:val="333333"/>
          <w:sz w:val="20"/>
        </w:rPr>
        <w:t>#### 2. Tư vấn Thiết kế &amp; Quản lý Số hóa BIM (Design &amp; BIM Consultancy)</w:t>
      </w:r>
    </w:p>
    <w:p>
      <w:pPr>
        <w:pStyle w:val="ListBullet"/>
        <w:spacing w:after="30" w:line="259" w:lineRule="auto"/>
      </w:pPr>
      <w:r>
        <w:rPr>
          <w:color w:val="333333"/>
          <w:sz w:val="20"/>
        </w:rPr>
        <w:t>Quy hoạch tổng mặt bằng, thiết kế kiến trúc, kết cấu và hệ thống MEP.</w:t>
      </w:r>
    </w:p>
    <w:p>
      <w:pPr>
        <w:pStyle w:val="ListBullet"/>
        <w:spacing w:after="30" w:line="259" w:lineRule="auto"/>
      </w:pPr>
      <w:r>
        <w:rPr>
          <w:color w:val="333333"/>
          <w:sz w:val="20"/>
        </w:rPr>
        <w:t>Ứng dụng mô hình BIM (Building Information Modeling) Level 2/3 giúp xung đột kỹ thuật = 0, minh bạch dự toán chi phí.</w:t>
      </w:r>
    </w:p>
    <w:p>
      <w:pPr>
        <w:spacing w:after="30" w:line="259" w:lineRule="auto"/>
      </w:pPr>
      <w:r>
        <w:rPr>
          <w:color w:val="333333"/>
          <w:sz w:val="20"/>
        </w:rPr>
        <w:t>#### 3. Thi công Tổng thầu EPC (EPC General Contractor)</w:t>
      </w:r>
    </w:p>
    <w:p>
      <w:pPr>
        <w:pStyle w:val="ListBullet"/>
        <w:spacing w:after="30" w:line="259" w:lineRule="auto"/>
      </w:pPr>
      <w:r>
        <w:rPr>
          <w:color w:val="333333"/>
          <w:sz w:val="20"/>
        </w:rPr>
        <w:t>Thi công trọn gói nhà xưởng kết cấu thép tiền chế, nhà máy sản xuất công nghệ cao.</w:t>
      </w:r>
    </w:p>
    <w:p>
      <w:pPr>
        <w:pStyle w:val="ListBullet"/>
        <w:spacing w:after="30" w:line="259" w:lineRule="auto"/>
      </w:pPr>
      <w:r>
        <w:rPr>
          <w:color w:val="333333"/>
          <w:sz w:val="20"/>
        </w:rPr>
        <w:t>Quản lý công trường tiêu chuẩn quốc tế, thi công hạ tầng kỹ thuật, đường giao thông, bể PCCC.</w:t>
      </w:r>
    </w:p>
    <w:p>
      <w:pPr>
        <w:spacing w:after="30" w:line="259" w:lineRule="auto"/>
      </w:pPr>
      <w:r>
        <w:rPr>
          <w:color w:val="333333"/>
          <w:sz w:val="20"/>
        </w:rPr>
        <w:t>#### 4. Dịch vụ Bảo trì &amp; Vận hành 24/7 (24/7 O&amp;M Services)</w:t>
      </w:r>
    </w:p>
    <w:p>
      <w:pPr>
        <w:pStyle w:val="ListBullet"/>
        <w:spacing w:after="30" w:line="259" w:lineRule="auto"/>
      </w:pPr>
      <w:r>
        <w:rPr>
          <w:color w:val="333333"/>
          <w:sz w:val="20"/>
        </w:rPr>
        <w:t>Dịch vụ bảo hành, bảo trì định kỳ 24/24.</w:t>
      </w:r>
    </w:p>
    <w:p>
      <w:pPr>
        <w:pStyle w:val="ListBullet"/>
        <w:spacing w:after="30" w:line="259" w:lineRule="auto"/>
      </w:pPr>
      <w:r>
        <w:rPr>
          <w:color w:val="333333"/>
          <w:sz w:val="20"/>
        </w:rPr>
        <w:t>Cải tạo, nâng cấp, mở rộng nhà xưởng mà không làm gián đoạn dây chuyền sản xuất của khách hàng.</w:t>
      </w:r>
    </w:p>
    <w:p>
      <w:pPr>
        <w:spacing w:before="40" w:after="40"/>
      </w:pPr>
    </w:p>
    <w:p>
      <w:pPr>
        <w:spacing w:before="80" w:after="30"/>
      </w:pPr>
      <w:r>
        <w:rPr>
          <w:b/>
          <w:color w:val="1B365D"/>
          <w:sz w:val="21"/>
        </w:rPr>
        <w:t>GIẢI PHẪU KỸ THUẬT NHÀ XƯỞNG CÔNG NGHIỆP TÂN THÀNH CÔNG</w:t>
      </w:r>
    </w:p>
    <w:p>
      <w:pPr>
        <w:pStyle w:val="ListBullet"/>
        <w:spacing w:after="30" w:line="259" w:lineRule="auto"/>
      </w:pPr>
      <w:r>
        <w:rPr>
          <w:b/>
          <w:color w:val="333333"/>
          <w:sz w:val="20"/>
        </w:rPr>
        <w:t>01. Hệ Móng BTCT Chịu Tải:</w:t>
      </w:r>
      <w:r>
        <w:rPr>
          <w:color w:val="333333"/>
          <w:sz w:val="20"/>
        </w:rPr>
        <w:t xml:space="preserve"> Bê tông mác 250-300, hệ bulong neo cường độ cao Grade 5.6 &amp; 8.8.</w:t>
      </w:r>
    </w:p>
    <w:p>
      <w:pPr>
        <w:pStyle w:val="ListBullet"/>
        <w:spacing w:after="30" w:line="259" w:lineRule="auto"/>
      </w:pPr>
      <w:r>
        <w:rPr>
          <w:b/>
          <w:color w:val="333333"/>
          <w:sz w:val="20"/>
        </w:rPr>
        <w:t>02. Khung Thép Tiền Chế Tổ Hợp:</w:t>
      </w:r>
      <w:r>
        <w:rPr>
          <w:color w:val="333333"/>
          <w:sz w:val="20"/>
        </w:rPr>
        <w:t xml:space="preserve"> Thép tấm Q345B, cột &amp; kèo tiết diện biến thiên, sơn chống rỉ Alkyd/Epoxy 2 lớp.</w:t>
      </w:r>
    </w:p>
    <w:p>
      <w:pPr>
        <w:pStyle w:val="ListBullet"/>
        <w:spacing w:after="30" w:line="259" w:lineRule="auto"/>
      </w:pPr>
      <w:r>
        <w:rPr>
          <w:b/>
          <w:color w:val="333333"/>
          <w:sz w:val="20"/>
        </w:rPr>
        <w:t>03. Hệ Mái Seamlock/Cliplock:</w:t>
      </w:r>
      <w:r>
        <w:rPr>
          <w:color w:val="333333"/>
          <w:sz w:val="20"/>
        </w:rPr>
        <w:t xml:space="preserve"> Tôn mạ kẽm/mạ màu 0.45-0.5mm không bắn vít chống dột tuyệt đối, lớp bông thủy tinh Glasswool cách nhiệt.</w:t>
      </w:r>
    </w:p>
    <w:p>
      <w:pPr>
        <w:pStyle w:val="ListBullet"/>
        <w:spacing w:after="30" w:line="259" w:lineRule="auto"/>
      </w:pPr>
      <w:r>
        <w:rPr>
          <w:b/>
          <w:color w:val="333333"/>
          <w:sz w:val="20"/>
        </w:rPr>
        <w:t>04. Hệ Thông Gió Đỉnh Mái:</w:t>
      </w:r>
      <w:r>
        <w:rPr>
          <w:color w:val="333333"/>
          <w:sz w:val="20"/>
        </w:rPr>
        <w:t xml:space="preserve"> Cửa trời Monitor đón gió tự nhiên, quả cầu inox, tấm lợp sáng Polycarbonate tiết kiệm 20% điện chiếu sáng.</w:t>
      </w:r>
    </w:p>
    <w:p>
      <w:pPr>
        <w:pStyle w:val="ListBullet"/>
        <w:spacing w:after="30" w:line="259" w:lineRule="auto"/>
      </w:pPr>
      <w:r>
        <w:rPr>
          <w:b/>
          <w:color w:val="333333"/>
          <w:sz w:val="20"/>
        </w:rPr>
        <w:t>05. Vách Bao Che &amp; Tường Chân:</w:t>
      </w:r>
      <w:r>
        <w:rPr>
          <w:color w:val="333333"/>
          <w:sz w:val="20"/>
        </w:rPr>
        <w:t xml:space="preserve"> Tường gạch xây 220 cao 2.5m, thưng tôn vách mạ màu 0.4mm, giằng vách tăng cứng.</w:t>
      </w:r>
    </w:p>
    <w:p>
      <w:pPr>
        <w:spacing w:before="40" w:after="40"/>
      </w:pPr>
    </w:p>
    <w:p>
      <w:pPr>
        <w:spacing w:before="100" w:after="40"/>
      </w:pPr>
      <w:r>
        <w:rPr>
          <w:b/>
          <w:color w:val="0056B3"/>
          <w:sz w:val="24"/>
        </w:rPr>
        <w:t>III. DỰ ÁN TIÊU BIỂU &amp; HỆ SINH THÁI ĐỐI TÁC</w:t>
      </w:r>
    </w:p>
    <w:p>
      <w:pPr>
        <w:spacing w:before="80" w:after="30"/>
      </w:pPr>
      <w:r>
        <w:rPr>
          <w:b/>
          <w:color w:val="1B365D"/>
          <w:sz w:val="21"/>
        </w:rPr>
        <w:t>CÁC CÔNG TRÌNH DỰ ÁN TIÊU BIỂU</w:t>
      </w:r>
    </w:p>
    <w:p>
      <w:pPr>
        <w:pStyle w:val="ListBullet"/>
        <w:spacing w:after="30" w:line="259" w:lineRule="auto"/>
      </w:pPr>
      <w:r>
        <w:rPr>
          <w:b/>
          <w:color w:val="333333"/>
          <w:sz w:val="20"/>
        </w:rPr>
        <w:t>NHÀ MÁY SẢN XUẤT ĐIỆN TỬ E-TECH FACTORY</w:t>
      </w:r>
    </w:p>
    <w:p>
      <w:pPr>
        <w:pStyle w:val="ListBullet"/>
        <w:spacing w:after="30" w:line="259" w:lineRule="auto"/>
      </w:pPr>
      <w:r>
        <w:rPr>
          <w:color w:val="333333"/>
          <w:sz w:val="20"/>
        </w:rPr>
        <w:t>Chủ đầu tư: Tập đoàn FDI Hàn Quốc / Nhật Bản | Quy mô: 30.000 m²</w:t>
      </w:r>
    </w:p>
    <w:p>
      <w:pPr>
        <w:pStyle w:val="ListBullet"/>
        <w:spacing w:after="30" w:line="259" w:lineRule="auto"/>
      </w:pPr>
      <w:r>
        <w:rPr>
          <w:color w:val="333333"/>
          <w:sz w:val="20"/>
        </w:rPr>
        <w:t>Hạng mục: Tổng thầu EPC Thiết kế &amp; Thi công trọn gói | Địa điểm: KCN Bắc Ninh</w:t>
      </w:r>
    </w:p>
    <w:p>
      <w:pPr>
        <w:pStyle w:val="ListBullet"/>
        <w:spacing w:after="30" w:line="259" w:lineRule="auto"/>
      </w:pPr>
      <w:r>
        <w:rPr>
          <w:b/>
          <w:color w:val="333333"/>
          <w:sz w:val="20"/>
        </w:rPr>
        <w:t>CỤM NHÀ XƯỞNG CHO THUÊ TIÊU CHUẨN ESG GREEN PARK</w:t>
      </w:r>
    </w:p>
    <w:p>
      <w:pPr>
        <w:pStyle w:val="ListBullet"/>
        <w:spacing w:after="30" w:line="259" w:lineRule="auto"/>
      </w:pPr>
      <w:r>
        <w:rPr>
          <w:color w:val="333333"/>
          <w:sz w:val="20"/>
        </w:rPr>
        <w:t>Chủ đầu tư: Công ty Đạt chuẩn Quốc tế | Quy mô: 45.000 m²</w:t>
      </w:r>
    </w:p>
    <w:p>
      <w:pPr>
        <w:pStyle w:val="ListBullet"/>
        <w:spacing w:after="30" w:line="259" w:lineRule="auto"/>
      </w:pPr>
      <w:r>
        <w:rPr>
          <w:color w:val="333333"/>
          <w:sz w:val="20"/>
        </w:rPr>
        <w:t>Hạng mục: Thi công Khung thép tiền chế &amp; Hạ tầng KCN | Địa điểm: KCN Bình Dương</w:t>
      </w:r>
    </w:p>
    <w:p>
      <w:pPr>
        <w:pStyle w:val="ListBullet"/>
        <w:spacing w:after="30" w:line="259" w:lineRule="auto"/>
      </w:pPr>
      <w:r>
        <w:rPr>
          <w:b/>
          <w:color w:val="333333"/>
          <w:sz w:val="20"/>
        </w:rPr>
        <w:t>TRUNG TÂM LOGISTICS &amp; KHO LẠNH CHUYÊN DỤNG</w:t>
      </w:r>
    </w:p>
    <w:p>
      <w:pPr>
        <w:pStyle w:val="ListBullet"/>
        <w:spacing w:after="30" w:line="259" w:lineRule="auto"/>
      </w:pPr>
      <w:r>
        <w:rPr>
          <w:color w:val="333333"/>
          <w:sz w:val="20"/>
        </w:rPr>
        <w:t>Chủ đầu tư: Tập đoàn Logistics Đa quốc gia | Quy mô: 20.000 m²</w:t>
      </w:r>
    </w:p>
    <w:p>
      <w:pPr>
        <w:pStyle w:val="ListBullet"/>
        <w:spacing w:after="30" w:line="259" w:lineRule="auto"/>
      </w:pPr>
      <w:r>
        <w:rPr>
          <w:color w:val="333333"/>
          <w:sz w:val="20"/>
        </w:rPr>
        <w:t>Hạng mục: Tổng thầu Thi công &amp; Hệ thống PCCC tự động | Địa điểm: TP. Hải Phòng</w:t>
      </w:r>
    </w:p>
    <w:p>
      <w:pPr>
        <w:spacing w:before="40" w:after="40"/>
      </w:pPr>
    </w:p>
    <w:p>
      <w:pPr>
        <w:spacing w:before="80" w:after="30"/>
      </w:pPr>
      <w:r>
        <w:rPr>
          <w:b/>
          <w:color w:val="1B365D"/>
          <w:sz w:val="21"/>
        </w:rPr>
        <w:t>HỆ SINH THÁI ĐỐI TÁC &amp; CHỨNG CHỈ NĂNG LỰC</w:t>
      </w:r>
    </w:p>
    <w:p>
      <w:pPr>
        <w:pStyle w:val="ListBullet"/>
        <w:spacing w:after="30" w:line="259" w:lineRule="auto"/>
      </w:pPr>
      <w:r>
        <w:rPr>
          <w:b/>
          <w:color w:val="333333"/>
          <w:sz w:val="20"/>
        </w:rPr>
        <w:t>Nhà cung cấp Vật liệu &amp; Thiết bị:</w:t>
      </w:r>
      <w:r>
        <w:rPr>
          <w:color w:val="333333"/>
          <w:sz w:val="20"/>
        </w:rPr>
        <w:t xml:space="preserve"> Hoa Sen Group, Hòa Phát Steel, Dulux, Schneider Electric, Mitsubishi, Grundfos.</w:t>
      </w:r>
    </w:p>
    <w:p>
      <w:pPr>
        <w:pStyle w:val="ListBullet"/>
        <w:spacing w:after="30" w:line="259" w:lineRule="auto"/>
      </w:pPr>
      <w:r>
        <w:rPr>
          <w:b/>
          <w:color w:val="333333"/>
          <w:sz w:val="20"/>
        </w:rPr>
        <w:t>Ngân hàng Bảo lãnh Tín dụng:</w:t>
      </w:r>
      <w:r>
        <w:rPr>
          <w:color w:val="333333"/>
          <w:sz w:val="20"/>
        </w:rPr>
        <w:t xml:space="preserve"> Vietcombank, BIDV, VietinBank, MB Bank.</w:t>
      </w:r>
    </w:p>
    <w:p>
      <w:pPr>
        <w:pStyle w:val="ListBullet"/>
        <w:spacing w:after="30" w:line="259" w:lineRule="auto"/>
      </w:pPr>
      <w:r>
        <w:rPr>
          <w:b/>
          <w:color w:val="333333"/>
          <w:sz w:val="20"/>
        </w:rPr>
        <w:t>Chứng nhận Năng lực:</w:t>
      </w:r>
      <w:r>
        <w:rPr>
          <w:color w:val="333333"/>
          <w:sz w:val="20"/>
        </w:rPr>
        <w:t xml:space="preserve"> Chứng chỉ Năng lực Hoạt động Xây dựng Hạng I, ISO 9001:2015, ISO 14001:2015, ISO 45001:2018.</w:t>
      </w:r>
    </w:p>
    <w:p>
      <w:pPr>
        <w:spacing w:before="40" w:after="40"/>
      </w:pPr>
    </w:p>
    <w:p>
      <w:pPr>
        <w:spacing w:before="80" w:after="30"/>
      </w:pPr>
      <w:r>
        <w:rPr>
          <w:b/>
          <w:color w:val="1B365D"/>
          <w:sz w:val="21"/>
        </w:rPr>
        <w:t>THÔNG TIN LIÊN HỆ ĐẦU TƯ &amp; TƯ VẤN XÂY DỰNG</w:t>
      </w:r>
    </w:p>
    <w:p>
      <w:pPr>
        <w:spacing w:after="30" w:line="259" w:lineRule="auto"/>
      </w:pPr>
      <w:r>
        <w:rPr>
          <w:b/>
          <w:color w:val="333333"/>
          <w:sz w:val="20"/>
        </w:rPr>
        <w:t>CÔNG TY CỔ PHẦN CÔNG NGHỆ XÂY DỰNG TÂN THÀNH CÔNG (AIDC CORP)</w:t>
      </w:r>
    </w:p>
    <w:p>
      <w:pPr>
        <w:pStyle w:val="ListBullet"/>
        <w:spacing w:after="30" w:line="259" w:lineRule="auto"/>
      </w:pPr>
      <w:r>
        <w:rPr>
          <w:b/>
          <w:color w:val="333333"/>
          <w:sz w:val="20"/>
        </w:rPr>
        <w:t>Mã số thuế:</w:t>
      </w:r>
      <w:r>
        <w:rPr>
          <w:color w:val="333333"/>
          <w:sz w:val="20"/>
        </w:rPr>
        <w:t xml:space="preserve"> 0107090447 (Cấp ngày 10/11/2015)</w:t>
      </w:r>
    </w:p>
    <w:p>
      <w:pPr>
        <w:pStyle w:val="ListBullet"/>
        <w:spacing w:after="30" w:line="259" w:lineRule="auto"/>
      </w:pPr>
      <w:r>
        <w:rPr>
          <w:b/>
          <w:color w:val="333333"/>
          <w:sz w:val="20"/>
        </w:rPr>
        <w:t>Trụ sở ĐKKD:</w:t>
      </w:r>
      <w:r>
        <w:rPr>
          <w:color w:val="333333"/>
          <w:sz w:val="20"/>
        </w:rPr>
        <w:t xml:space="preserve"> Số 39, ngõ 292 đường Kim Giang, P. Đại Kim, Q. Hoàng Mai, TP. Hà Nội.</w:t>
      </w:r>
    </w:p>
    <w:p>
      <w:pPr>
        <w:pStyle w:val="ListBullet"/>
        <w:spacing w:after="30" w:line="259" w:lineRule="auto"/>
      </w:pPr>
      <w:r>
        <w:rPr>
          <w:b/>
          <w:color w:val="333333"/>
          <w:sz w:val="20"/>
        </w:rPr>
        <w:t>Văn phòng Giao dịch:</w:t>
      </w:r>
      <w:r>
        <w:rPr>
          <w:color w:val="333333"/>
          <w:sz w:val="20"/>
        </w:rPr>
        <w:t xml:space="preserve"> Số 19N7B, KĐT Trung Hòa Nhân Chính, Quận Thanh Xuân, TP. Hà Nội.</w:t>
      </w:r>
    </w:p>
    <w:p>
      <w:pPr>
        <w:pStyle w:val="ListBullet"/>
        <w:spacing w:after="30" w:line="259" w:lineRule="auto"/>
      </w:pPr>
      <w:r>
        <w:rPr>
          <w:b/>
          <w:color w:val="333333"/>
          <w:sz w:val="20"/>
        </w:rPr>
        <w:t>Hotline Trực tiếp Ban Giám Đốc (24/7):</w:t>
      </w:r>
      <w:r>
        <w:rPr>
          <w:color w:val="333333"/>
          <w:sz w:val="20"/>
        </w:rPr>
        <w:t xml:space="preserve"> 0976 447 766</w:t>
      </w:r>
    </w:p>
    <w:p>
      <w:pPr>
        <w:pStyle w:val="ListBullet"/>
        <w:spacing w:after="30" w:line="259" w:lineRule="auto"/>
      </w:pPr>
      <w:r>
        <w:rPr>
          <w:b/>
          <w:color w:val="333333"/>
          <w:sz w:val="20"/>
        </w:rPr>
        <w:t>Email:</w:t>
      </w:r>
      <w:hyperlink r:id="rId9">
        <w:r>
          <w:rPr>
            <w:color w:val="0056B3"/>
            <w:u w:val="single"/>
            <w:sz w:val="21"/>
          </w:rPr>
          <w:t xml:space="preserve">contact@tanthanhcong.com.vn</w:t>
        </w:r>
      </w:hyperlink>
      <w:r>
        <w:rPr>
          <w:color w:val="333333"/>
          <w:sz w:val="20"/>
        </w:rPr>
        <w:t xml:space="preserve">| </w:t>
      </w:r>
      <w:r>
        <w:rPr>
          <w:b/>
          <w:color w:val="333333"/>
          <w:sz w:val="20"/>
        </w:rPr>
        <w:t>Website:</w:t>
      </w:r>
      <w:r>
        <w:rPr>
          <w:color w:val="333333"/>
          <w:sz w:val="20"/>
        </w:rPr>
        <w:t xml:space="preserve"> www.tanthanhcong.com.vn</w:t>
      </w:r>
    </w:p>
    <w:p>
      <w:pPr>
        <w:pStyle w:val="ListBullet"/>
        <w:spacing w:after="30" w:line="259" w:lineRule="auto"/>
      </w:pPr>
      <w:r>
        <w:rPr>
          <w:color w:val="333333"/>
          <w:sz w:val="20"/>
        </w:rPr>
        <w:t>(Quét mã QR Code đính kèm để xem Video Flycam 4K &amp; Mô hình 3D BIM các dự án đã hoàn thành)</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64"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ontact@tanthanhcong.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