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b/>
          <w:color w:val="1B365D"/>
          <w:sz w:val="30"/>
        </w:rPr>
        <w:t>CÔNG TY CỔ PHẦN CÔNG NGHỆ XÂY DỰNG TÂN THÀNH CÔNG</w:t>
      </w:r>
    </w:p>
    <w:p>
      <w:pPr>
        <w:spacing w:after="30" w:line="259" w:lineRule="auto"/>
      </w:pPr>
      <w:r>
        <w:rPr>
          <w:b/>
          <w:color w:val="333333"/>
          <w:sz w:val="20"/>
        </w:rPr>
        <w:t>TAN THANH CONG CONSTRUCTION TECHNOLOGY JSC (AIDC CORP)</w:t>
      </w:r>
    </w:p>
    <w:p>
      <w:pPr>
        <w:spacing w:before="40" w:after="40"/>
      </w:pPr>
    </w:p>
    <w:p>
      <w:pPr>
        <w:spacing w:before="100" w:after="40"/>
      </w:pPr>
      <w:r>
        <w:rPr>
          <w:b/>
          <w:color w:val="0056B3"/>
          <w:sz w:val="24"/>
        </w:rPr>
        <w:t>EXECUTIVE CAPABILITY PROFILE 2026</w:t>
      </w:r>
    </w:p>
    <w:p>
      <w:pPr>
        <w:spacing w:after="30" w:line="259" w:lineRule="auto"/>
      </w:pPr>
      <w:r>
        <w:rPr>
          <w:color w:val="333333"/>
          <w:sz w:val="20"/>
        </w:rPr>
        <w:t>"Chất Lượng Vững Bền – Công Nghệ Tiên Phong – Chuẩn Mực ESG"</w:t>
      </w:r>
    </w:p>
    <w:p>
      <w:pPr>
        <w:spacing w:after="30" w:line="259" w:lineRule="auto"/>
      </w:pPr>
      <w:r>
        <w:rPr>
          <w:color w:val="333333"/>
          <w:sz w:val="20"/>
        </w:rPr>
        <w:t>(Building Quality – Pioneering Technology – ESG Excellence)</w:t>
      </w:r>
    </w:p>
    <w:p>
      <w:pPr>
        <w:spacing w:after="30" w:line="259" w:lineRule="auto"/>
      </w:pPr>
      <w:r>
        <w:rPr>
          <w:b/>
          <w:color w:val="333333"/>
          <w:sz w:val="20"/>
        </w:rPr>
        <w:t>TỔNG THẦU EPC CÔNG NGHIỆP XANH &amp; HẠ TẦNG TIÊU CHUẨN ESG</w:t>
      </w:r>
    </w:p>
    <w:p>
      <w:pPr>
        <w:spacing w:before="40" w:after="40"/>
      </w:pPr>
    </w:p>
    <w:p>
      <w:pPr>
        <w:spacing w:before="100" w:after="40"/>
      </w:pPr>
      <w:r>
        <w:rPr>
          <w:b/>
          <w:color w:val="0056B3"/>
          <w:sz w:val="24"/>
        </w:rPr>
        <w:t>I. THÔNG TIN PHÁP LÝ &amp; TÓM TẮT DOANH NGHIỆP</w:t>
      </w:r>
    </w:p>
    <w:p>
      <w:pPr>
        <w:spacing w:before="80" w:after="30"/>
      </w:pPr>
      <w:r>
        <w:rPr>
          <w:b/>
          <w:color w:val="1B365D"/>
          <w:sz w:val="21"/>
        </w:rPr>
        <w:t>1. THÔNG TIN PHÁP LÝ CHÍNH THỨC</w:t>
      </w:r>
    </w:p>
    <w:p>
      <w:pPr>
        <w:pStyle w:val="ListBullet"/>
        <w:spacing w:after="30" w:line="259" w:lineRule="auto"/>
      </w:pPr>
      <w:r>
        <w:rPr>
          <w:b/>
          <w:color w:val="333333"/>
          <w:sz w:val="20"/>
        </w:rPr>
        <w:t>Tên Doanh nghiệp:</w:t>
      </w:r>
      <w:r>
        <w:rPr>
          <w:color w:val="333333"/>
          <w:sz w:val="20"/>
        </w:rPr>
        <w:t xml:space="preserve"> CÔNG TY CỔ PHẦN CÔNG NGHỆ XÂY DỰNG TÂN THÀNH CÔNG</w:t>
      </w:r>
    </w:p>
    <w:p>
      <w:pPr>
        <w:pStyle w:val="ListBullet"/>
        <w:spacing w:after="30" w:line="259" w:lineRule="auto"/>
      </w:pPr>
      <w:r>
        <w:rPr>
          <w:b/>
          <w:color w:val="333333"/>
          <w:sz w:val="20"/>
        </w:rPr>
        <w:t>Tên Giao dịch Quốc tế:</w:t>
      </w:r>
      <w:r>
        <w:rPr>
          <w:color w:val="333333"/>
          <w:sz w:val="20"/>
        </w:rPr>
        <w:t xml:space="preserve"> TAN THANH CONG CONSTRUCTION TECHNOLOGY JSC</w:t>
      </w:r>
    </w:p>
    <w:p>
      <w:pPr>
        <w:pStyle w:val="ListBullet"/>
        <w:spacing w:after="30" w:line="259" w:lineRule="auto"/>
      </w:pPr>
      <w:r>
        <w:rPr>
          <w:b/>
          <w:color w:val="333333"/>
          <w:sz w:val="20"/>
        </w:rPr>
        <w:t>Tên Viết Tắt:</w:t>
      </w:r>
      <w:r>
        <w:rPr>
          <w:color w:val="333333"/>
          <w:sz w:val="20"/>
        </w:rPr>
        <w:t xml:space="preserve"> AIDC CORP / TTC JSC</w:t>
      </w:r>
    </w:p>
    <w:p>
      <w:pPr>
        <w:pStyle w:val="ListBullet"/>
        <w:spacing w:after="30" w:line="259" w:lineRule="auto"/>
      </w:pPr>
      <w:r>
        <w:rPr>
          <w:b/>
          <w:color w:val="333333"/>
          <w:sz w:val="20"/>
        </w:rPr>
        <w:t>Mã số thuế / Mã số Doanh nghiệp:</w:t>
      </w:r>
      <w:r>
        <w:rPr>
          <w:color w:val="333333"/>
          <w:sz w:val="20"/>
        </w:rPr>
        <w:t xml:space="preserve"> 0107090447 (Cấp phép ngày 10/11/2015)</w:t>
      </w:r>
    </w:p>
    <w:p>
      <w:pPr>
        <w:pStyle w:val="ListBullet"/>
        <w:spacing w:after="30" w:line="259" w:lineRule="auto"/>
      </w:pPr>
      <w:r>
        <w:rPr>
          <w:b/>
          <w:color w:val="333333"/>
          <w:sz w:val="20"/>
        </w:rPr>
        <w:t>Trụ sở ĐKKD:</w:t>
      </w:r>
      <w:r>
        <w:rPr>
          <w:color w:val="333333"/>
          <w:sz w:val="20"/>
        </w:rPr>
        <w:t xml:space="preserve"> Số 39, ngõ 292 đường Kim Giang, Phường Đại Kim, Quận Hoàng Mai, TP. Hà Nội.</w:t>
      </w:r>
    </w:p>
    <w:p>
      <w:pPr>
        <w:pStyle w:val="ListBullet"/>
        <w:spacing w:after="30" w:line="259" w:lineRule="auto"/>
      </w:pPr>
      <w:r>
        <w:rPr>
          <w:b/>
          <w:color w:val="333333"/>
          <w:sz w:val="20"/>
        </w:rPr>
        <w:t>Văn phòng Giao dịch:</w:t>
      </w:r>
      <w:r>
        <w:rPr>
          <w:color w:val="333333"/>
          <w:sz w:val="20"/>
        </w:rPr>
        <w:t xml:space="preserve"> Số 19N7B, KĐT Trung Hòa Nhân Chính, Quận Thanh Xuân, TP. Hà Nội.</w:t>
      </w:r>
    </w:p>
    <w:p>
      <w:pPr>
        <w:pStyle w:val="ListBullet"/>
        <w:spacing w:after="30" w:line="259" w:lineRule="auto"/>
      </w:pPr>
      <w:r>
        <w:rPr>
          <w:b/>
          <w:color w:val="333333"/>
          <w:sz w:val="20"/>
        </w:rPr>
        <w:t>Đại diện Pháp luật:</w:t>
      </w:r>
      <w:r>
        <w:rPr>
          <w:color w:val="333333"/>
          <w:sz w:val="20"/>
        </w:rPr>
        <w:t xml:space="preserve"> Ông PHẠM HUY TÂN – Tổng Giám Đốc</w:t>
      </w:r>
    </w:p>
    <w:p>
      <w:pPr>
        <w:pStyle w:val="ListBullet"/>
        <w:spacing w:after="30" w:line="259" w:lineRule="auto"/>
      </w:pPr>
      <w:r>
        <w:rPr>
          <w:b/>
          <w:color w:val="333333"/>
          <w:sz w:val="20"/>
        </w:rPr>
        <w:t>Hotline:</w:t>
      </w:r>
      <w:r>
        <w:rPr>
          <w:color w:val="333333"/>
          <w:sz w:val="20"/>
        </w:rPr>
        <w:t xml:space="preserve"> 0976 447 766 | </w:t>
      </w:r>
      <w:r>
        <w:rPr>
          <w:b/>
          <w:color w:val="333333"/>
          <w:sz w:val="20"/>
        </w:rPr>
        <w:t>Email:</w:t>
      </w:r>
      <w:hyperlink r:id="rId9">
        <w:r>
          <w:rPr>
            <w:color w:val="0056B3"/>
            <w:u w:val="single"/>
            <w:sz w:val="21"/>
          </w:rPr>
          <w:t xml:space="preserve">contact@tanthanhcong.com.vn</w:t>
        </w:r>
      </w:hyperlink>
      <w:r>
        <w:rPr>
          <w:color w:val="333333"/>
          <w:sz w:val="20"/>
        </w:rPr>
        <w:t xml:space="preserve">| </w:t>
      </w:r>
      <w:r>
        <w:rPr>
          <w:b/>
          <w:color w:val="333333"/>
          <w:sz w:val="20"/>
        </w:rPr>
        <w:t>Website:</w:t>
      </w:r>
      <w:r>
        <w:rPr>
          <w:color w:val="333333"/>
          <w:sz w:val="20"/>
        </w:rPr>
        <w:t xml:space="preserve"> www.tanthanhcong.com.vn</w:t>
      </w:r>
    </w:p>
    <w:p>
      <w:pPr>
        <w:spacing w:before="80" w:after="30"/>
      </w:pPr>
      <w:r>
        <w:rPr>
          <w:b/>
          <w:color w:val="1B365D"/>
          <w:sz w:val="21"/>
        </w:rPr>
        <w:t>2. CHỨNG CHỈ NĂNG LỰC &amp; HỆ THỐNG ISO QUỐC TẾ</w:t>
      </w:r>
    </w:p>
    <w:p>
      <w:pPr>
        <w:pStyle w:val="ListBullet"/>
        <w:spacing w:after="30" w:line="259" w:lineRule="auto"/>
      </w:pPr>
      <w:r>
        <w:rPr>
          <w:b/>
          <w:color w:val="333333"/>
          <w:sz w:val="20"/>
        </w:rPr>
        <w:t>Chứng chỉ Năng lực Hoạt động Xây dựng:</w:t>
      </w:r>
      <w:r>
        <w:rPr>
          <w:color w:val="333333"/>
          <w:sz w:val="20"/>
        </w:rPr>
        <w:t xml:space="preserve"> Chứng chỉ Hạng I / Hạng II do Bộ Xây dựng cấp (Lĩnh vực: Thiết kế, Giám sát, Thi công công trình công nghiệp &amp; hạ tầng).</w:t>
      </w:r>
    </w:p>
    <w:p>
      <w:pPr>
        <w:pStyle w:val="ListBullet"/>
        <w:spacing w:after="30" w:line="259" w:lineRule="auto"/>
      </w:pPr>
      <w:r>
        <w:rPr>
          <w:b/>
          <w:color w:val="333333"/>
          <w:sz w:val="20"/>
        </w:rPr>
        <w:t>Hệ thống Quản lý ISO:</w:t>
      </w:r>
    </w:p>
    <w:p>
      <w:pPr>
        <w:pStyle w:val="ListBullet"/>
        <w:spacing w:after="30" w:line="259" w:lineRule="auto"/>
      </w:pPr>
      <w:r>
        <w:rPr>
          <w:b/>
          <w:color w:val="333333"/>
          <w:sz w:val="20"/>
        </w:rPr>
        <w:t>ISO 9001:2015:</w:t>
      </w:r>
      <w:r>
        <w:rPr>
          <w:color w:val="333333"/>
          <w:sz w:val="20"/>
        </w:rPr>
        <w:t xml:space="preserve"> Hệ thống Quản lý Chất lượng.</w:t>
      </w:r>
    </w:p>
    <w:p>
      <w:pPr>
        <w:pStyle w:val="ListBullet"/>
        <w:spacing w:after="30" w:line="259" w:lineRule="auto"/>
      </w:pPr>
      <w:r>
        <w:rPr>
          <w:b/>
          <w:color w:val="333333"/>
          <w:sz w:val="20"/>
        </w:rPr>
        <w:t>ISO 14001:2015:</w:t>
      </w:r>
      <w:r>
        <w:rPr>
          <w:color w:val="333333"/>
          <w:sz w:val="20"/>
        </w:rPr>
        <w:t xml:space="preserve"> Hệ thống Quản lý Môi trường.</w:t>
      </w:r>
    </w:p>
    <w:p>
      <w:pPr>
        <w:pStyle w:val="ListBullet"/>
        <w:spacing w:after="30" w:line="259" w:lineRule="auto"/>
      </w:pPr>
      <w:r>
        <w:rPr>
          <w:b/>
          <w:color w:val="333333"/>
          <w:sz w:val="20"/>
        </w:rPr>
        <w:t>ISO 45001:2018:</w:t>
      </w:r>
      <w:r>
        <w:rPr>
          <w:color w:val="333333"/>
          <w:sz w:val="20"/>
        </w:rPr>
        <w:t xml:space="preserve"> Hệ thống Quản lý An toàn &amp; Sức khỏe Nghề nghiệp (HSE).</w:t>
      </w:r>
    </w:p>
    <w:p>
      <w:pPr>
        <w:spacing w:before="40" w:after="40"/>
      </w:pPr>
    </w:p>
    <w:p>
      <w:pPr>
        <w:spacing w:before="100" w:after="40"/>
      </w:pPr>
      <w:r>
        <w:rPr>
          <w:b/>
          <w:color w:val="0056B3"/>
          <w:sz w:val="24"/>
        </w:rPr>
        <w:t>II. THƯ NGỎ TỪ BAN LÃNH ĐẠO &amp; TRIẾT LÝ QUẢN TRỊ RỦI RO</w:t>
      </w:r>
    </w:p>
    <w:p>
      <w:pPr>
        <w:spacing w:after="30" w:line="259" w:lineRule="auto"/>
      </w:pPr>
      <w:r>
        <w:rPr>
          <w:color w:val="333333"/>
          <w:sz w:val="20"/>
        </w:rPr>
        <w:t>Kính gửi Quý Chủ tịch, Quý Tổng Giám đốc và Các Trưởng Ban Quản lý Dự án FDI!</w:t>
      </w:r>
    </w:p>
    <w:p>
      <w:pPr>
        <w:spacing w:after="30" w:line="259" w:lineRule="auto"/>
      </w:pPr>
      <w:r>
        <w:rPr>
          <w:color w:val="333333"/>
          <w:sz w:val="20"/>
        </w:rPr>
        <w:t>Trong tiến trình hội nhập và cạnh tranh toàn cầu, quyết định lựa chọn Tổng thầu EPC cho một dự án xây dựng nhà máy hàng chục triệu USD là một quyết định chiến lược liên quan trực tiếp đến dòng tiền, thời gian tung sản phẩm ra thị trường và uy tín thương hiệu của Quý vị.</w:t>
      </w:r>
    </w:p>
    <w:p>
      <w:pPr>
        <w:spacing w:after="30" w:line="259" w:lineRule="auto"/>
      </w:pPr>
      <w:r>
        <w:rPr>
          <w:color w:val="333333"/>
          <w:sz w:val="20"/>
        </w:rPr>
        <w:t xml:space="preserve">Tại Tân Thành Công JSC, chúng tôi thấu hiểu rằng: </w:t>
      </w:r>
      <w:r>
        <w:rPr>
          <w:b/>
          <w:color w:val="333333"/>
          <w:sz w:val="20"/>
        </w:rPr>
        <w:t>"Tiến độ là Tiền bạc, An toàn là Tính mạng, và Chất lượng là Uy tín Bền vững."</w:t>
      </w:r>
    </w:p>
    <w:p>
      <w:pPr>
        <w:spacing w:after="30" w:line="259" w:lineRule="auto"/>
      </w:pPr>
      <w:r>
        <w:rPr>
          <w:color w:val="333333"/>
          <w:sz w:val="20"/>
        </w:rPr>
        <w:t xml:space="preserve">Trong suốt hơn 10 năm qua, chúng tôi đã xây dựng bộ máy vận hành chuẩn hóa, quy tụ hơn 100 cán bộ chuyên gia, kỹ sư và lực lượng công nhân tay nghề 7/7. Chúng tôi không chỉ xây dựng những bức tường hay mái tôn, mà xây dựng </w:t>
      </w:r>
      <w:r>
        <w:rPr>
          <w:b/>
          <w:color w:val="333333"/>
          <w:sz w:val="20"/>
        </w:rPr>
        <w:t>SỰ AN TÂM TUYỆT ĐỐI</w:t>
      </w:r>
      <w:r>
        <w:rPr>
          <w:color w:val="333333"/>
          <w:sz w:val="20"/>
        </w:rPr>
        <w:t xml:space="preserve"> cho Chủ đầu tư bằng giải pháp kỹ thuật tối ưu và cam kết 0% sự cố rủi ro.</w:t>
      </w:r>
    </w:p>
    <w:p>
      <w:pPr>
        <w:spacing w:after="30" w:line="259" w:lineRule="auto"/>
      </w:pPr>
      <w:r>
        <w:rPr>
          <w:color w:val="333333"/>
          <w:sz w:val="20"/>
        </w:rPr>
        <w:t>Rất hân hạnh được hợp tác và kiến tạo những thành công mới cùng Quý vị.</w:t>
      </w:r>
    </w:p>
    <w:p>
      <w:pPr>
        <w:spacing w:after="30" w:line="259" w:lineRule="auto"/>
      </w:pPr>
      <w:r>
        <w:rPr>
          <w:color w:val="333333"/>
          <w:sz w:val="20"/>
        </w:rPr>
        <w:t>Trân trọng,</w:t>
      </w:r>
    </w:p>
    <w:p>
      <w:pPr>
        <w:spacing w:after="30" w:line="259" w:lineRule="auto"/>
      </w:pPr>
      <w:r>
        <w:rPr>
          <w:b/>
          <w:color w:val="333333"/>
          <w:sz w:val="20"/>
        </w:rPr>
        <w:t>CÔNG TY CỔ PHẦN CÔNG NGHỆ XÂY DỰNG TÂN THÀNH CÔNG</w:t>
      </w:r>
    </w:p>
    <w:p>
      <w:pPr>
        <w:spacing w:after="30" w:line="259" w:lineRule="auto"/>
      </w:pPr>
      <w:r>
        <w:rPr>
          <w:b/>
          <w:color w:val="333333"/>
          <w:sz w:val="20"/>
        </w:rPr>
        <w:t>TỔNG GIÁM ĐỐC</w:t>
      </w:r>
    </w:p>
    <w:p>
      <w:pPr>
        <w:spacing w:after="30" w:line="259" w:lineRule="auto"/>
      </w:pPr>
      <w:r>
        <w:rPr>
          <w:b/>
          <w:color w:val="333333"/>
          <w:sz w:val="20"/>
        </w:rPr>
        <w:t>Ông PHẠM HUY TÂN</w:t>
      </w:r>
    </w:p>
    <w:p>
      <w:pPr>
        <w:spacing w:before="40" w:after="40"/>
      </w:pPr>
    </w:p>
    <w:p>
      <w:pPr>
        <w:spacing w:before="100" w:after="40"/>
      </w:pPr>
      <w:r>
        <w:rPr>
          <w:b/>
          <w:color w:val="0056B3"/>
          <w:sz w:val="24"/>
        </w:rPr>
        <w:t>III. BỘ CHỈ SỐ CAM KẾT VÀNG KHI BÀN GIAO CÔNG TRÌNH</w:t>
      </w:r>
    </w:p>
    <w:tbl>
      <w:tblPr>
        <w:tblW w:type="auto" w:w="0"/>
        <w:jc w:val="center"/>
        <w:tblLayout w:type="fixed"/>
        <w:tblLook w:firstColumn="1" w:firstRow="1" w:lastColumn="0" w:lastRow="0" w:noHBand="0" w:noVBand="1" w:val="04A0"/>
      </w:tblPr>
      <w:tblGrid>
        <w:gridCol w:w="5256"/>
        <w:gridCol w:w="5256"/>
      </w:tblGrid>
      <w:tr>
        <w:trPr>
          <w:cantSplit/>
          <w:tblHeader/>
        </w:trPr>
        <w:tc>
          <w:tcPr>
            <w:tcW w:type="dxa" w:w="5256"/>
            <w:shd w:fill="1B365D"/>
          </w:tcPr>
          <w:p>
            <w:pPr>
              <w:spacing w:after="20" w:before="20" w:line="252" w:lineRule="auto"/>
            </w:pPr>
            <w:r>
              <w:rPr>
                <w:color w:val="FFFFFF"/>
                <w:sz w:val="19"/>
              </w:rPr>
              <w:t>Chỉ số Cam kết Vàng</w:t>
            </w:r>
          </w:p>
        </w:tc>
        <w:tc>
          <w:tcPr>
            <w:tcW w:type="dxa" w:w="5256"/>
            <w:shd w:fill="1B365D"/>
          </w:tcPr>
          <w:p>
            <w:pPr>
              <w:spacing w:after="20" w:before="20" w:line="252" w:lineRule="auto"/>
            </w:pPr>
            <w:r>
              <w:rPr>
                <w:color w:val="FFFFFF"/>
                <w:sz w:val="19"/>
              </w:rPr>
              <w:t>Nội dung Cam kết Thực hiện</w:t>
            </w:r>
          </w:p>
        </w:tc>
      </w:tr>
      <w:tr>
        <w:trPr>
          <w:cantSplit/>
        </w:trPr>
        <w:tc>
          <w:tcPr>
            <w:tcW w:type="dxa" w:w="5256"/>
            <w:shd w:fill="F8F9FA"/>
          </w:tcPr>
          <w:p>
            <w:pPr>
              <w:spacing w:after="20" w:before="20" w:line="252" w:lineRule="auto"/>
            </w:pPr>
            <w:r>
              <w:rPr>
                <w:b/>
                <w:color w:val="222222"/>
                <w:sz w:val="18"/>
              </w:rPr>
              <w:t>100% ON-TIME DELIVERY</w:t>
            </w:r>
            <w:r>
              <w:rPr>
                <w:color w:val="222222"/>
                <w:sz w:val="18"/>
              </w:rPr>
              <w:t xml:space="preserve"> (100% Đúng Tiến Độ)</w:t>
            </w:r>
          </w:p>
        </w:tc>
        <w:tc>
          <w:tcPr>
            <w:tcW w:type="dxa" w:w="5256"/>
            <w:shd w:fill="F8F9FA"/>
          </w:tcPr>
          <w:p>
            <w:pPr>
              <w:spacing w:after="20" w:before="20" w:line="252" w:lineRule="auto"/>
            </w:pPr>
            <w:r>
              <w:rPr>
                <w:color w:val="222222"/>
                <w:sz w:val="18"/>
              </w:rPr>
              <w:t>Cam kết bàn giao dự án đúng hoặc vượt tiến độ nhờ ứng dụng mô hình số hóa BIM và sản xuất thép tiền chế chuẩn hóa.</w:t>
            </w:r>
          </w:p>
        </w:tc>
      </w:tr>
      <w:tr>
        <w:trPr>
          <w:cantSplit/>
        </w:trPr>
        <w:tc>
          <w:tcPr>
            <w:tcW w:type="dxa" w:w="5256"/>
            <w:shd w:fill="FFFFFF"/>
          </w:tcPr>
          <w:p>
            <w:pPr>
              <w:spacing w:after="20" w:before="20" w:line="252" w:lineRule="auto"/>
            </w:pPr>
            <w:r>
              <w:rPr>
                <w:b/>
                <w:color w:val="222222"/>
                <w:sz w:val="18"/>
              </w:rPr>
              <w:t>0% ACCIDENT SAFETY</w:t>
            </w:r>
            <w:r>
              <w:rPr>
                <w:color w:val="222222"/>
                <w:sz w:val="18"/>
              </w:rPr>
              <w:t xml:space="preserve"> (100% An Toàn HSE)</w:t>
            </w:r>
          </w:p>
        </w:tc>
        <w:tc>
          <w:tcPr>
            <w:tcW w:type="dxa" w:w="5256"/>
            <w:shd w:fill="FFFFFF"/>
          </w:tcPr>
          <w:p>
            <w:pPr>
              <w:spacing w:after="20" w:before="20" w:line="252" w:lineRule="auto"/>
            </w:pPr>
            <w:r>
              <w:rPr>
                <w:color w:val="222222"/>
                <w:sz w:val="18"/>
              </w:rPr>
              <w:t>Tuân thủ nghiêm ngặt chính sách Zero Accident, bảo vệ an toàn tuyệt đối cho công nhân &amp; thiết bị công trường.</w:t>
            </w:r>
          </w:p>
        </w:tc>
      </w:tr>
      <w:tr>
        <w:trPr>
          <w:cantSplit/>
        </w:trPr>
        <w:tc>
          <w:tcPr>
            <w:tcW w:type="dxa" w:w="5256"/>
            <w:shd w:fill="F8F9FA"/>
          </w:tcPr>
          <w:p>
            <w:pPr>
              <w:spacing w:after="20" w:before="20" w:line="252" w:lineRule="auto"/>
            </w:pPr>
            <w:r>
              <w:rPr>
                <w:b/>
                <w:color w:val="222222"/>
                <w:sz w:val="18"/>
              </w:rPr>
              <w:t>ESG GREEN COMPLIANCE</w:t>
            </w:r>
            <w:r>
              <w:rPr>
                <w:color w:val="222222"/>
                <w:sz w:val="18"/>
              </w:rPr>
              <w:t xml:space="preserve"> (Tiêu Chuẩn Công Trình Xanh)</w:t>
            </w:r>
          </w:p>
        </w:tc>
        <w:tc>
          <w:tcPr>
            <w:tcW w:type="dxa" w:w="5256"/>
            <w:shd w:fill="F8F9FA"/>
          </w:tcPr>
          <w:p>
            <w:pPr>
              <w:spacing w:after="20" w:before="20" w:line="252" w:lineRule="auto"/>
            </w:pPr>
            <w:r>
              <w:rPr>
                <w:color w:val="222222"/>
                <w:sz w:val="18"/>
              </w:rPr>
              <w:t>Tiết kiệm năng lượng, giảm phát thải carbon đạt chuẩn xanh (LEED / Lotus / Edge).</w:t>
            </w:r>
          </w:p>
        </w:tc>
      </w:tr>
    </w:tbl>
    <w:p>
      <w:pPr>
        <w:spacing w:after="40"/>
      </w:pPr>
    </w:p>
    <w:p>
      <w:pPr>
        <w:spacing w:before="40" w:after="40"/>
      </w:pPr>
    </w:p>
    <w:p>
      <w:pPr>
        <w:spacing w:before="100" w:after="40"/>
      </w:pPr>
      <w:r>
        <w:rPr>
          <w:b/>
          <w:color w:val="0056B3"/>
          <w:sz w:val="24"/>
        </w:rPr>
        <w:t>IV. NĂNG LỰC TÀI CHÍNH &amp; HẠN MỨC TÍN DỤNG NGÂN HÀNG</w:t>
      </w:r>
    </w:p>
    <w:p>
      <w:pPr>
        <w:spacing w:before="80" w:after="30"/>
      </w:pPr>
      <w:r>
        <w:rPr>
          <w:b/>
          <w:color w:val="1B365D"/>
          <w:sz w:val="21"/>
        </w:rPr>
        <w:t>1. TÓM TẮT BÁO CÁO TÀI CHÍNH TỔNG HỢP</w:t>
      </w:r>
    </w:p>
    <w:p>
      <w:pPr>
        <w:spacing w:after="30" w:line="259" w:lineRule="auto"/>
      </w:pPr>
      <w:r>
        <w:rPr>
          <w:color w:val="333333"/>
          <w:sz w:val="20"/>
        </w:rPr>
        <w:t>(Bảng trích xuất từ Báo cáo Tài chính Kiểm toán chính thức)</w:t>
      </w:r>
    </w:p>
    <w:tbl>
      <w:tblPr>
        <w:tblW w:type="auto" w:w="0"/>
        <w:jc w:val="center"/>
        <w:tblLayout w:type="fixed"/>
        <w:tblLook w:firstColumn="1" w:firstRow="1" w:lastColumn="0" w:lastRow="0" w:noHBand="0" w:noVBand="1" w:val="04A0"/>
      </w:tblPr>
      <w:tblGrid>
        <w:gridCol w:w="2628"/>
        <w:gridCol w:w="2628"/>
        <w:gridCol w:w="2628"/>
        <w:gridCol w:w="2628"/>
      </w:tblGrid>
      <w:tr>
        <w:trPr>
          <w:cantSplit/>
          <w:tblHeader/>
        </w:trPr>
        <w:tc>
          <w:tcPr>
            <w:tcW w:type="dxa" w:w="2628"/>
            <w:shd w:fill="1B365D"/>
          </w:tcPr>
          <w:p>
            <w:pPr>
              <w:spacing w:after="20" w:before="20" w:line="252" w:lineRule="auto"/>
            </w:pPr>
            <w:r>
              <w:rPr>
                <w:color w:val="FFFFFF"/>
                <w:sz w:val="19"/>
              </w:rPr>
              <w:t>Chỉ tiêu Tài chính (Đơn vị: Tỷ VNĐ)</w:t>
            </w:r>
          </w:p>
        </w:tc>
        <w:tc>
          <w:tcPr>
            <w:tcW w:type="dxa" w:w="2628"/>
            <w:shd w:fill="1B365D"/>
          </w:tcPr>
          <w:p>
            <w:pPr>
              <w:spacing w:after="20" w:before="20" w:line="252" w:lineRule="auto"/>
            </w:pPr>
            <w:r>
              <w:rPr>
                <w:color w:val="FFFFFF"/>
                <w:sz w:val="19"/>
              </w:rPr>
              <w:t>Năm 2023</w:t>
            </w:r>
          </w:p>
        </w:tc>
        <w:tc>
          <w:tcPr>
            <w:tcW w:type="dxa" w:w="2628"/>
            <w:shd w:fill="1B365D"/>
          </w:tcPr>
          <w:p>
            <w:pPr>
              <w:spacing w:after="20" w:before="20" w:line="252" w:lineRule="auto"/>
            </w:pPr>
            <w:r>
              <w:rPr>
                <w:color w:val="FFFFFF"/>
                <w:sz w:val="19"/>
              </w:rPr>
              <w:t>Năm 2024</w:t>
            </w:r>
          </w:p>
        </w:tc>
        <w:tc>
          <w:tcPr>
            <w:tcW w:type="dxa" w:w="2628"/>
            <w:shd w:fill="1B365D"/>
          </w:tcPr>
          <w:p>
            <w:pPr>
              <w:spacing w:after="20" w:before="20" w:line="252" w:lineRule="auto"/>
            </w:pPr>
            <w:r>
              <w:rPr>
                <w:color w:val="FFFFFF"/>
                <w:sz w:val="19"/>
              </w:rPr>
              <w:t>Năm 2025 (Kiểm toán)</w:t>
            </w:r>
          </w:p>
        </w:tc>
      </w:tr>
      <w:tr>
        <w:trPr>
          <w:cantSplit/>
        </w:trPr>
        <w:tc>
          <w:tcPr>
            <w:tcW w:type="dxa" w:w="2628"/>
            <w:shd w:fill="F8F9FA"/>
          </w:tcPr>
          <w:p>
            <w:pPr>
              <w:spacing w:after="20" w:before="20" w:line="252" w:lineRule="auto"/>
            </w:pPr>
            <w:r>
              <w:rPr>
                <w:b/>
                <w:color w:val="222222"/>
                <w:sz w:val="18"/>
              </w:rPr>
              <w:t>Tổng Tài sản (Total Assets)</w:t>
            </w:r>
          </w:p>
        </w:tc>
        <w:tc>
          <w:tcPr>
            <w:tcW w:type="dxa" w:w="2628"/>
            <w:shd w:fill="F8F9FA"/>
          </w:tcPr>
          <w:p>
            <w:pPr>
              <w:spacing w:after="20" w:before="20" w:line="252" w:lineRule="auto"/>
            </w:pPr>
            <w:r>
              <w:rPr>
                <w:color w:val="222222"/>
                <w:sz w:val="18"/>
              </w:rPr>
              <w:t>BCTC Kiểm toán</w:t>
            </w:r>
          </w:p>
        </w:tc>
        <w:tc>
          <w:tcPr>
            <w:tcW w:type="dxa" w:w="2628"/>
            <w:shd w:fill="F8F9FA"/>
          </w:tcPr>
          <w:p>
            <w:pPr>
              <w:spacing w:after="20" w:before="20" w:line="252" w:lineRule="auto"/>
            </w:pPr>
            <w:r>
              <w:rPr>
                <w:color w:val="222222"/>
                <w:sz w:val="18"/>
              </w:rPr>
              <w:t>BCTC Kiểm toán</w:t>
            </w:r>
          </w:p>
        </w:tc>
        <w:tc>
          <w:tcPr>
            <w:tcW w:type="dxa" w:w="2628"/>
            <w:shd w:fill="F8F9FA"/>
          </w:tcPr>
          <w:p>
            <w:pPr>
              <w:spacing w:after="20" w:before="20" w:line="252" w:lineRule="auto"/>
            </w:pPr>
            <w:r>
              <w:rPr>
                <w:color w:val="222222"/>
                <w:sz w:val="18"/>
              </w:rPr>
              <w:t>BCTC Kiểm toán</w:t>
            </w:r>
          </w:p>
        </w:tc>
      </w:tr>
      <w:tr>
        <w:trPr>
          <w:cantSplit/>
        </w:trPr>
        <w:tc>
          <w:tcPr>
            <w:tcW w:type="dxa" w:w="2628"/>
            <w:shd w:fill="FFFFFF"/>
          </w:tcPr>
          <w:p>
            <w:pPr>
              <w:spacing w:after="20" w:before="20" w:line="252" w:lineRule="auto"/>
            </w:pPr>
            <w:r>
              <w:rPr>
                <w:b/>
                <w:color w:val="222222"/>
                <w:sz w:val="18"/>
              </w:rPr>
              <w:t>Vốn Chủ sở hữu (Equity)</w:t>
            </w:r>
          </w:p>
        </w:tc>
        <w:tc>
          <w:tcPr>
            <w:tcW w:type="dxa" w:w="2628"/>
            <w:shd w:fill="FFFFFF"/>
          </w:tcPr>
          <w:p>
            <w:pPr>
              <w:spacing w:after="20" w:before="20" w:line="252" w:lineRule="auto"/>
            </w:pPr>
            <w:r>
              <w:rPr>
                <w:color w:val="222222"/>
                <w:sz w:val="18"/>
              </w:rPr>
              <w:t>BCTC Kiểm toán</w:t>
            </w:r>
          </w:p>
        </w:tc>
        <w:tc>
          <w:tcPr>
            <w:tcW w:type="dxa" w:w="2628"/>
            <w:shd w:fill="FFFFFF"/>
          </w:tcPr>
          <w:p>
            <w:pPr>
              <w:spacing w:after="20" w:before="20" w:line="252" w:lineRule="auto"/>
            </w:pPr>
            <w:r>
              <w:rPr>
                <w:color w:val="222222"/>
                <w:sz w:val="18"/>
              </w:rPr>
              <w:t>BCTC Kiểm toán</w:t>
            </w:r>
          </w:p>
        </w:tc>
        <w:tc>
          <w:tcPr>
            <w:tcW w:type="dxa" w:w="2628"/>
            <w:shd w:fill="FFFFFF"/>
          </w:tcPr>
          <w:p>
            <w:pPr>
              <w:spacing w:after="20" w:before="20" w:line="252" w:lineRule="auto"/>
            </w:pPr>
            <w:r>
              <w:rPr>
                <w:color w:val="222222"/>
                <w:sz w:val="18"/>
              </w:rPr>
              <w:t>BCTC Kiểm toán</w:t>
            </w:r>
          </w:p>
        </w:tc>
      </w:tr>
      <w:tr>
        <w:trPr>
          <w:cantSplit/>
        </w:trPr>
        <w:tc>
          <w:tcPr>
            <w:tcW w:type="dxa" w:w="2628"/>
            <w:shd w:fill="F8F9FA"/>
          </w:tcPr>
          <w:p>
            <w:pPr>
              <w:spacing w:after="20" w:before="20" w:line="252" w:lineRule="auto"/>
            </w:pPr>
            <w:r>
              <w:rPr>
                <w:b/>
                <w:color w:val="222222"/>
                <w:sz w:val="18"/>
              </w:rPr>
              <w:t>Doanh thu Thuần (Revenue)</w:t>
            </w:r>
          </w:p>
        </w:tc>
        <w:tc>
          <w:tcPr>
            <w:tcW w:type="dxa" w:w="2628"/>
            <w:shd w:fill="F8F9FA"/>
          </w:tcPr>
          <w:p>
            <w:pPr>
              <w:spacing w:after="20" w:before="20" w:line="252" w:lineRule="auto"/>
            </w:pPr>
            <w:r>
              <w:rPr>
                <w:color w:val="222222"/>
                <w:sz w:val="18"/>
              </w:rPr>
              <w:t>BCTC Kiểm toán</w:t>
            </w:r>
          </w:p>
        </w:tc>
        <w:tc>
          <w:tcPr>
            <w:tcW w:type="dxa" w:w="2628"/>
            <w:shd w:fill="F8F9FA"/>
          </w:tcPr>
          <w:p>
            <w:pPr>
              <w:spacing w:after="20" w:before="20" w:line="252" w:lineRule="auto"/>
            </w:pPr>
            <w:r>
              <w:rPr>
                <w:color w:val="222222"/>
                <w:sz w:val="18"/>
              </w:rPr>
              <w:t>BCTC Kiểm toán</w:t>
            </w:r>
          </w:p>
        </w:tc>
        <w:tc>
          <w:tcPr>
            <w:tcW w:type="dxa" w:w="2628"/>
            <w:shd w:fill="F8F9FA"/>
          </w:tcPr>
          <w:p>
            <w:pPr>
              <w:spacing w:after="20" w:before="20" w:line="252" w:lineRule="auto"/>
            </w:pPr>
            <w:r>
              <w:rPr>
                <w:color w:val="222222"/>
                <w:sz w:val="18"/>
              </w:rPr>
              <w:t>BCTC Kiểm toán</w:t>
            </w:r>
          </w:p>
        </w:tc>
      </w:tr>
      <w:tr>
        <w:trPr>
          <w:cantSplit/>
        </w:trPr>
        <w:tc>
          <w:tcPr>
            <w:tcW w:type="dxa" w:w="2628"/>
            <w:shd w:fill="FFFFFF"/>
          </w:tcPr>
          <w:p>
            <w:pPr>
              <w:spacing w:after="20" w:before="20" w:line="252" w:lineRule="auto"/>
            </w:pPr>
            <w:r>
              <w:rPr>
                <w:b/>
                <w:color w:val="222222"/>
                <w:sz w:val="18"/>
              </w:rPr>
              <w:t>Lợi nhuận sau Thuế (NPAT)</w:t>
            </w:r>
          </w:p>
        </w:tc>
        <w:tc>
          <w:tcPr>
            <w:tcW w:type="dxa" w:w="2628"/>
            <w:shd w:fill="FFFFFF"/>
          </w:tcPr>
          <w:p>
            <w:pPr>
              <w:spacing w:after="20" w:before="20" w:line="252" w:lineRule="auto"/>
            </w:pPr>
            <w:r>
              <w:rPr>
                <w:color w:val="222222"/>
                <w:sz w:val="18"/>
              </w:rPr>
              <w:t>BCTC Kiểm toán</w:t>
            </w:r>
          </w:p>
        </w:tc>
        <w:tc>
          <w:tcPr>
            <w:tcW w:type="dxa" w:w="2628"/>
            <w:shd w:fill="FFFFFF"/>
          </w:tcPr>
          <w:p>
            <w:pPr>
              <w:spacing w:after="20" w:before="20" w:line="252" w:lineRule="auto"/>
            </w:pPr>
            <w:r>
              <w:rPr>
                <w:color w:val="222222"/>
                <w:sz w:val="18"/>
              </w:rPr>
              <w:t>BCTC Kiểm toán</w:t>
            </w:r>
          </w:p>
        </w:tc>
        <w:tc>
          <w:tcPr>
            <w:tcW w:type="dxa" w:w="2628"/>
            <w:shd w:fill="FFFFFF"/>
          </w:tcPr>
          <w:p>
            <w:pPr>
              <w:spacing w:after="20" w:before="20" w:line="252" w:lineRule="auto"/>
            </w:pPr>
            <w:r>
              <w:rPr>
                <w:color w:val="222222"/>
                <w:sz w:val="18"/>
              </w:rPr>
              <w:t>BCTC Kiểm toán</w:t>
            </w:r>
          </w:p>
        </w:tc>
      </w:tr>
      <w:tr>
        <w:trPr>
          <w:cantSplit/>
        </w:trPr>
        <w:tc>
          <w:tcPr>
            <w:tcW w:type="dxa" w:w="2628"/>
            <w:shd w:fill="F8F9FA"/>
          </w:tcPr>
          <w:p>
            <w:pPr>
              <w:spacing w:after="20" w:before="20" w:line="252" w:lineRule="auto"/>
            </w:pPr>
            <w:r>
              <w:rPr>
                <w:b/>
                <w:color w:val="222222"/>
                <w:sz w:val="18"/>
              </w:rPr>
              <w:t>Hệ số Thanh toán Nợ ngắn hạn</w:t>
            </w:r>
          </w:p>
        </w:tc>
        <w:tc>
          <w:tcPr>
            <w:tcW w:type="dxa" w:w="2628"/>
            <w:shd w:fill="F8F9FA"/>
          </w:tcPr>
          <w:p>
            <w:pPr>
              <w:spacing w:after="20" w:before="20" w:line="252" w:lineRule="auto"/>
            </w:pPr>
            <w:r>
              <w:rPr>
                <w:color w:val="222222"/>
                <w:sz w:val="18"/>
              </w:rPr>
              <w:t>&gt; 1.5</w:t>
            </w:r>
          </w:p>
        </w:tc>
        <w:tc>
          <w:tcPr>
            <w:tcW w:type="dxa" w:w="2628"/>
            <w:shd w:fill="F8F9FA"/>
          </w:tcPr>
          <w:p>
            <w:pPr>
              <w:spacing w:after="20" w:before="20" w:line="252" w:lineRule="auto"/>
            </w:pPr>
            <w:r>
              <w:rPr>
                <w:color w:val="222222"/>
                <w:sz w:val="18"/>
              </w:rPr>
              <w:t>&gt; 1.5</w:t>
            </w:r>
          </w:p>
        </w:tc>
        <w:tc>
          <w:tcPr>
            <w:tcW w:type="dxa" w:w="2628"/>
            <w:shd w:fill="F8F9FA"/>
          </w:tcPr>
          <w:p>
            <w:pPr>
              <w:spacing w:after="20" w:before="20" w:line="252" w:lineRule="auto"/>
            </w:pPr>
            <w:r>
              <w:rPr>
                <w:color w:val="222222"/>
                <w:sz w:val="18"/>
              </w:rPr>
              <w:t>&gt; 1.8</w:t>
            </w:r>
          </w:p>
        </w:tc>
      </w:tr>
    </w:tbl>
    <w:p>
      <w:pPr>
        <w:spacing w:after="40"/>
      </w:pPr>
    </w:p>
    <w:p>
      <w:pPr>
        <w:spacing w:before="80" w:after="30"/>
      </w:pPr>
      <w:r>
        <w:rPr>
          <w:b/>
          <w:color w:val="1B365D"/>
          <w:sz w:val="21"/>
        </w:rPr>
        <w:t>2. NĂNG LỰC TÍN DỤNG &amp; BẢO LÃNH NGÂN HÀNG</w:t>
      </w:r>
    </w:p>
    <w:p>
      <w:pPr>
        <w:spacing w:after="30" w:line="259" w:lineRule="auto"/>
      </w:pPr>
      <w:r>
        <w:rPr>
          <w:color w:val="333333"/>
          <w:sz w:val="20"/>
        </w:rPr>
        <w:t>Tân Thành Công duy trì lịch sử tín dụng sạch và mối quan hệ hợp tác chiến lược với các Ngân hàng Thương mại Top 1 Việt Nam:</w:t>
      </w:r>
    </w:p>
    <w:p>
      <w:pPr>
        <w:pStyle w:val="ListBullet"/>
        <w:spacing w:after="30" w:line="259" w:lineRule="auto"/>
      </w:pPr>
      <w:r>
        <w:rPr>
          <w:b/>
          <w:color w:val="333333"/>
          <w:sz w:val="20"/>
        </w:rPr>
        <w:t>Hạn mức Tín dụng được cấp:</w:t>
      </w:r>
      <w:r>
        <w:rPr>
          <w:color w:val="333333"/>
          <w:sz w:val="20"/>
        </w:rPr>
        <w:t xml:space="preserve"> Hạn mức linh hoạt theo quy mô dự án.</w:t>
      </w:r>
    </w:p>
    <w:p>
      <w:pPr>
        <w:pStyle w:val="ListBullet"/>
        <w:spacing w:after="30" w:line="259" w:lineRule="auto"/>
      </w:pPr>
      <w:r>
        <w:rPr>
          <w:b/>
          <w:color w:val="333333"/>
          <w:sz w:val="20"/>
        </w:rPr>
        <w:t>Ngân hàng cam kết Bảo lãnh Dự thầu &amp; Thực hiện Hợp đồng:</w:t>
      </w:r>
      <w:r>
        <w:rPr>
          <w:color w:val="333333"/>
          <w:sz w:val="20"/>
        </w:rPr>
        <w:t xml:space="preserve"> Vietcombank, BIDV, VietinBank, MB Bank.</w:t>
      </w:r>
    </w:p>
    <w:p>
      <w:pPr>
        <w:pStyle w:val="ListBullet"/>
        <w:spacing w:after="30" w:line="259" w:lineRule="auto"/>
      </w:pPr>
      <w:r>
        <w:rPr>
          <w:b/>
          <w:color w:val="333333"/>
          <w:sz w:val="20"/>
        </w:rPr>
        <w:t>Khả năng huy động vốn lưu động:</w:t>
      </w:r>
      <w:r>
        <w:rPr>
          <w:color w:val="333333"/>
          <w:sz w:val="20"/>
        </w:rPr>
        <w:t xml:space="preserve"> Đảm bảo sẵn sàng nguồn vốn tự có &amp; tín dụng cho các Siêu dự án EPC quy mô lớn.</w:t>
      </w:r>
    </w:p>
    <w:p>
      <w:pPr>
        <w:spacing w:before="40" w:after="40"/>
      </w:pPr>
    </w:p>
    <w:p>
      <w:pPr>
        <w:spacing w:before="100" w:after="40"/>
      </w:pPr>
      <w:r>
        <w:rPr>
          <w:b/>
          <w:color w:val="0056B3"/>
          <w:sz w:val="24"/>
        </w:rPr>
        <w:t>V. NĂNG LỰC KỸ THUẬT, SỐ HÓA BIM &amp; ĐỊNH HƯỚNG ESG</w:t>
      </w:r>
    </w:p>
    <w:p>
      <w:pPr>
        <w:spacing w:before="80" w:after="30"/>
      </w:pPr>
      <w:r>
        <w:rPr>
          <w:b/>
          <w:color w:val="1B365D"/>
          <w:sz w:val="21"/>
        </w:rPr>
        <w:t>1. ỨNG DỤNG CÔNG NGHỆ SỐ HÓA BIM LEVEL 2/3 (BUILDING INFORMATION MODELING)</w:t>
      </w:r>
    </w:p>
    <w:p>
      <w:pPr>
        <w:pStyle w:val="ListBullet"/>
        <w:spacing w:after="30" w:line="259" w:lineRule="auto"/>
      </w:pPr>
      <w:r>
        <w:rPr>
          <w:b/>
          <w:color w:val="333333"/>
          <w:sz w:val="20"/>
        </w:rPr>
        <w:t>Mô hình hóa 3D toàn diện:</w:t>
      </w:r>
      <w:r>
        <w:rPr>
          <w:color w:val="333333"/>
          <w:sz w:val="20"/>
        </w:rPr>
        <w:t xml:space="preserve"> Thiết kế &amp; mô phỏng 3D trước khi thi công, phát hiện và xử lý </w:t>
      </w:r>
      <w:r>
        <w:rPr>
          <w:b/>
          <w:color w:val="333333"/>
          <w:sz w:val="20"/>
        </w:rPr>
        <w:t>100% xung đột</w:t>
      </w:r>
      <w:r>
        <w:rPr>
          <w:color w:val="333333"/>
          <w:sz w:val="20"/>
        </w:rPr>
        <w:t xml:space="preserve"> giữa Hệ khung thép, Móng và Hệ thống MEP.</w:t>
      </w:r>
    </w:p>
    <w:p>
      <w:pPr>
        <w:pStyle w:val="ListBullet"/>
        <w:spacing w:after="30" w:line="259" w:lineRule="auto"/>
      </w:pPr>
      <w:r>
        <w:rPr>
          <w:b/>
          <w:color w:val="333333"/>
          <w:sz w:val="20"/>
        </w:rPr>
        <w:t>Minh bạch Chi phí 4D/5D:</w:t>
      </w:r>
      <w:r>
        <w:rPr>
          <w:color w:val="333333"/>
          <w:sz w:val="20"/>
        </w:rPr>
        <w:t xml:space="preserve"> Quản lý tiến độ thời gian (4D) và dự toán chi phí (5D) chính xác theo thời gian thực, ngăn ngừa phát sinh chi phí cho Chủ đầu tư.</w:t>
      </w:r>
    </w:p>
    <w:p>
      <w:pPr>
        <w:spacing w:before="80" w:after="30"/>
      </w:pPr>
      <w:r>
        <w:rPr>
          <w:b/>
          <w:color w:val="1B365D"/>
          <w:sz w:val="21"/>
        </w:rPr>
        <w:t>2. GIẢI PHÁP THI CÔNG NHÀ THÉP TIỀN CHẾ CHUYÊN SÂU</w:t>
      </w:r>
    </w:p>
    <w:p>
      <w:pPr>
        <w:pStyle w:val="ListBullet"/>
        <w:spacing w:after="30" w:line="259" w:lineRule="auto"/>
      </w:pPr>
      <w:r>
        <w:rPr>
          <w:b/>
          <w:color w:val="333333"/>
          <w:sz w:val="20"/>
        </w:rPr>
        <w:t>Khung thép Q345B cường độ cao:</w:t>
      </w:r>
      <w:r>
        <w:rPr>
          <w:color w:val="333333"/>
          <w:sz w:val="20"/>
        </w:rPr>
        <w:t xml:space="preserve"> Cột &amp; kèo thép tổ hợp biến thiên tiết diện, sơn Alkyd/Epoxy 2 lớp chống ăn mòn hóa chất và thời tiết khắc nghiệt.</w:t>
      </w:r>
    </w:p>
    <w:p>
      <w:pPr>
        <w:pStyle w:val="ListBullet"/>
        <w:spacing w:after="30" w:line="259" w:lineRule="auto"/>
      </w:pPr>
      <w:r>
        <w:rPr>
          <w:b/>
          <w:color w:val="333333"/>
          <w:sz w:val="20"/>
        </w:rPr>
        <w:t>Hệ Mái Seamlock/Cliplock:</w:t>
      </w:r>
      <w:r>
        <w:rPr>
          <w:color w:val="333333"/>
          <w:sz w:val="20"/>
        </w:rPr>
        <w:t xml:space="preserve"> Mái tôn không bắn vít chống dột tuyệt đối, lớp bông thủy tinh cách nhiệt (Glasswool), tấm lợp sáng Polycarbonate giảm 20% điện năng tiêu thụ.</w:t>
      </w:r>
    </w:p>
    <w:p>
      <w:pPr>
        <w:spacing w:before="80" w:after="30"/>
      </w:pPr>
      <w:r>
        <w:rPr>
          <w:b/>
          <w:color w:val="1B365D"/>
          <w:sz w:val="21"/>
        </w:rPr>
        <w:t>3. TIÊU CHUẨN CÔNG NGHIỆP XANH ESG (ENVIRONMENTAL - SOCIAL - GOVERNANCE)</w:t>
      </w:r>
    </w:p>
    <w:p>
      <w:pPr>
        <w:pStyle w:val="ListBullet"/>
        <w:spacing w:after="30" w:line="259" w:lineRule="auto"/>
      </w:pPr>
      <w:r>
        <w:rPr>
          <w:color w:val="333333"/>
          <w:sz w:val="20"/>
        </w:rPr>
        <w:t xml:space="preserve">Khẳng định năng lực tại </w:t>
      </w:r>
      <w:r>
        <w:rPr>
          <w:b/>
          <w:color w:val="333333"/>
          <w:sz w:val="20"/>
        </w:rPr>
        <w:t>Diễn đàn Hợp tác Doanh nghiệp Việt Nam – Hàn Quốc</w:t>
      </w:r>
      <w:r>
        <w:rPr>
          <w:color w:val="333333"/>
          <w:sz w:val="20"/>
        </w:rPr>
        <w:t>.</w:t>
      </w:r>
    </w:p>
    <w:p>
      <w:pPr>
        <w:pStyle w:val="ListBullet"/>
        <w:spacing w:after="30" w:line="259" w:lineRule="auto"/>
      </w:pPr>
      <w:r>
        <w:rPr>
          <w:color w:val="333333"/>
          <w:sz w:val="20"/>
        </w:rPr>
        <w:t>Ưu tiên vật liệu tái chế, vật liệu thân thiện môi trường, quy trình thu gom và xử lý 100% rác thải xây dựng theo quy định bảo vệ môi trường.</w:t>
      </w:r>
    </w:p>
    <w:p>
      <w:pPr>
        <w:spacing w:before="40" w:after="40"/>
      </w:pPr>
    </w:p>
    <w:p>
      <w:pPr>
        <w:spacing w:before="100" w:after="40"/>
      </w:pPr>
      <w:r>
        <w:rPr>
          <w:b/>
          <w:color w:val="0056B3"/>
          <w:sz w:val="24"/>
        </w:rPr>
        <w:t>VI. DỰ ÁN TIÊU BIỂU (CASE STUDIES)</w:t>
      </w:r>
    </w:p>
    <w:p>
      <w:pPr>
        <w:spacing w:before="80" w:after="30"/>
      </w:pPr>
      <w:r>
        <w:rPr>
          <w:b/>
          <w:color w:val="1B365D"/>
          <w:sz w:val="21"/>
        </w:rPr>
        <w:t>1. NHÀ MÁY CÔNG NGHỆ CAO E-FACTORY TÂN THUẬN</w:t>
      </w:r>
    </w:p>
    <w:p>
      <w:pPr>
        <w:pStyle w:val="ListBullet"/>
        <w:spacing w:after="30" w:line="259" w:lineRule="auto"/>
      </w:pPr>
      <w:r>
        <w:rPr>
          <w:b/>
          <w:color w:val="333333"/>
          <w:sz w:val="20"/>
        </w:rPr>
        <w:t>Chủ đầu tư:</w:t>
      </w:r>
      <w:r>
        <w:rPr>
          <w:color w:val="333333"/>
          <w:sz w:val="20"/>
        </w:rPr>
        <w:t xml:space="preserve"> Tập đoàn Sản xuất Linh kiện Điện tử Quốc tế</w:t>
      </w:r>
    </w:p>
    <w:p>
      <w:pPr>
        <w:pStyle w:val="ListBullet"/>
        <w:spacing w:after="30" w:line="259" w:lineRule="auto"/>
      </w:pPr>
      <w:r>
        <w:rPr>
          <w:b/>
          <w:color w:val="333333"/>
          <w:sz w:val="20"/>
        </w:rPr>
        <w:t>Quy mô:</w:t>
      </w:r>
      <w:r>
        <w:rPr>
          <w:color w:val="333333"/>
          <w:sz w:val="20"/>
        </w:rPr>
        <w:t xml:space="preserve"> 35.000 m² | </w:t>
      </w:r>
      <w:r>
        <w:rPr>
          <w:b/>
          <w:color w:val="333333"/>
          <w:sz w:val="20"/>
        </w:rPr>
        <w:t>Hạng mục EPC:</w:t>
      </w:r>
      <w:r>
        <w:rPr>
          <w:color w:val="333333"/>
          <w:sz w:val="20"/>
        </w:rPr>
        <w:t xml:space="preserve"> Tổng thầu Tư vấn thiết kế, Quản lý dự án &amp; Thi công trọn gói nhà xưởng, văn phòng điều hành.</w:t>
      </w:r>
    </w:p>
    <w:p>
      <w:pPr>
        <w:pStyle w:val="ListBullet"/>
        <w:spacing w:after="30" w:line="259" w:lineRule="auto"/>
      </w:pPr>
      <w:r>
        <w:rPr>
          <w:b/>
          <w:color w:val="333333"/>
          <w:sz w:val="20"/>
        </w:rPr>
        <w:t>Điểm nổi bật:</w:t>
      </w:r>
      <w:r>
        <w:rPr>
          <w:color w:val="333333"/>
          <w:sz w:val="20"/>
        </w:rPr>
        <w:t xml:space="preserve"> Thi công hoàn thành vượt tiến độ 20 ngày, đạt chứng nhận An toàn Lao động tuyệt đối.</w:t>
      </w:r>
    </w:p>
    <w:p>
      <w:pPr>
        <w:spacing w:before="80" w:after="30"/>
      </w:pPr>
      <w:r>
        <w:rPr>
          <w:b/>
          <w:color w:val="1B365D"/>
          <w:sz w:val="21"/>
        </w:rPr>
        <w:t>2. CỤM NHÀ XƯỞNG THÉP TIỀN CHẾ CHUẨN ESG GREEN PARK</w:t>
      </w:r>
    </w:p>
    <w:p>
      <w:pPr>
        <w:pStyle w:val="ListBullet"/>
        <w:spacing w:after="30" w:line="259" w:lineRule="auto"/>
      </w:pPr>
      <w:r>
        <w:rPr>
          <w:b/>
          <w:color w:val="333333"/>
          <w:sz w:val="20"/>
        </w:rPr>
        <w:t>Chủ đầu tư:</w:t>
      </w:r>
      <w:r>
        <w:rPr>
          <w:color w:val="333333"/>
          <w:sz w:val="20"/>
        </w:rPr>
        <w:t xml:space="preserve"> Doanh nghiệp Đầu tư Phát triển KCN</w:t>
      </w:r>
    </w:p>
    <w:p>
      <w:pPr>
        <w:pStyle w:val="ListBullet"/>
        <w:spacing w:after="30" w:line="259" w:lineRule="auto"/>
      </w:pPr>
      <w:r>
        <w:rPr>
          <w:b/>
          <w:color w:val="333333"/>
          <w:sz w:val="20"/>
        </w:rPr>
        <w:t>Quy mô:</w:t>
      </w:r>
      <w:r>
        <w:rPr>
          <w:color w:val="333333"/>
          <w:sz w:val="20"/>
        </w:rPr>
        <w:t xml:space="preserve"> 50.000 m² | </w:t>
      </w:r>
      <w:r>
        <w:rPr>
          <w:b/>
          <w:color w:val="333333"/>
          <w:sz w:val="20"/>
        </w:rPr>
        <w:t>Địa điểm:</w:t>
      </w:r>
      <w:r>
        <w:rPr>
          <w:color w:val="333333"/>
          <w:sz w:val="20"/>
        </w:rPr>
        <w:t xml:space="preserve"> KCN Bắc Ninh / KCN Bình Dương</w:t>
      </w:r>
    </w:p>
    <w:p>
      <w:pPr>
        <w:pStyle w:val="ListBullet"/>
        <w:spacing w:after="30" w:line="259" w:lineRule="auto"/>
      </w:pPr>
      <w:r>
        <w:rPr>
          <w:b/>
          <w:color w:val="333333"/>
          <w:sz w:val="20"/>
        </w:rPr>
        <w:t>Hạng mục EPC:</w:t>
      </w:r>
      <w:r>
        <w:rPr>
          <w:color w:val="333333"/>
          <w:sz w:val="20"/>
        </w:rPr>
        <w:t xml:space="preserve"> Thiết kế &amp; Thi công kết cấu thép tiền chế tổ hợp, mái Seamlock cách nhiệt.</w:t>
      </w:r>
    </w:p>
    <w:p>
      <w:pPr>
        <w:spacing w:before="80" w:after="30"/>
      </w:pPr>
      <w:r>
        <w:rPr>
          <w:b/>
          <w:color w:val="1B365D"/>
          <w:sz w:val="21"/>
        </w:rPr>
        <w:t>3. TRUNG TÂM LOGISTICS &amp; KHO LẠNH CHUYÊN DỤNG</w:t>
      </w:r>
    </w:p>
    <w:p>
      <w:pPr>
        <w:pStyle w:val="ListBullet"/>
        <w:spacing w:after="30" w:line="259" w:lineRule="auto"/>
      </w:pPr>
      <w:r>
        <w:rPr>
          <w:b/>
          <w:color w:val="333333"/>
          <w:sz w:val="20"/>
        </w:rPr>
        <w:t>Chủ đầu tư:</w:t>
      </w:r>
      <w:r>
        <w:rPr>
          <w:color w:val="333333"/>
          <w:sz w:val="20"/>
        </w:rPr>
        <w:t xml:space="preserve"> Tập đoàn Vận tải &amp; Logistics Đa quốc gia</w:t>
      </w:r>
    </w:p>
    <w:p>
      <w:pPr>
        <w:pStyle w:val="ListBullet"/>
        <w:spacing w:after="30" w:line="259" w:lineRule="auto"/>
      </w:pPr>
      <w:r>
        <w:rPr>
          <w:b/>
          <w:color w:val="333333"/>
          <w:sz w:val="20"/>
        </w:rPr>
        <w:t>Quy mô:</w:t>
      </w:r>
      <w:r>
        <w:rPr>
          <w:color w:val="333333"/>
          <w:sz w:val="20"/>
        </w:rPr>
        <w:t xml:space="preserve"> 28.000 m² | </w:t>
      </w:r>
      <w:r>
        <w:rPr>
          <w:b/>
          <w:color w:val="333333"/>
          <w:sz w:val="20"/>
        </w:rPr>
        <w:t>Hạng mục:</w:t>
      </w:r>
      <w:r>
        <w:rPr>
          <w:color w:val="333333"/>
          <w:sz w:val="20"/>
        </w:rPr>
        <w:t xml:space="preserve"> Thi công hạ tầng, sàn bê tông xoa nền tăng cứng Mastertop, PCCC tự động.</w:t>
      </w:r>
    </w:p>
    <w:p>
      <w:pPr>
        <w:spacing w:before="40" w:after="40"/>
      </w:pPr>
    </w:p>
    <w:p>
      <w:pPr>
        <w:spacing w:before="100" w:after="40"/>
      </w:pPr>
      <w:r>
        <w:rPr>
          <w:b/>
          <w:color w:val="0056B3"/>
          <w:sz w:val="24"/>
        </w:rPr>
        <w:t>VII. QUY TRÌNH HSE, QA/QC &amp; ĐỐI TÁC STRATEGIC</w:t>
      </w:r>
    </w:p>
    <w:p>
      <w:pPr>
        <w:spacing w:before="80" w:after="30"/>
      </w:pPr>
      <w:r>
        <w:rPr>
          <w:b/>
          <w:color w:val="1B365D"/>
          <w:sz w:val="21"/>
        </w:rPr>
        <w:t>1. QUY TRÌNH QUẢN LÝ AN TOÀN LAO ĐỘNG HSE (ZERO ACCIDENT POLICY)</w:t>
      </w:r>
    </w:p>
    <w:p>
      <w:pPr>
        <w:pStyle w:val="ListBullet"/>
        <w:spacing w:after="30" w:line="259" w:lineRule="auto"/>
      </w:pPr>
      <w:r>
        <w:rPr>
          <w:color w:val="333333"/>
          <w:sz w:val="20"/>
        </w:rPr>
        <w:t>100% Công nhân &amp; Kỹ sư tham gia khóa huấn luyện an toàn lao động trước khi vào công trường.</w:t>
      </w:r>
    </w:p>
    <w:p>
      <w:pPr>
        <w:pStyle w:val="ListBullet"/>
        <w:spacing w:after="30" w:line="259" w:lineRule="auto"/>
      </w:pPr>
      <w:r>
        <w:rPr>
          <w:color w:val="333333"/>
          <w:sz w:val="20"/>
        </w:rPr>
        <w:t>Trang bị đầy đủ PPE (Thiết bị bảo hộ cá nhân), kiểm định 100% xe cẩu, thiết bị nâng hạ và giàn giáo trước khi vận hành.</w:t>
      </w:r>
    </w:p>
    <w:p>
      <w:pPr>
        <w:pStyle w:val="ListBullet"/>
        <w:spacing w:after="30" w:line="259" w:lineRule="auto"/>
      </w:pPr>
      <w:r>
        <w:rPr>
          <w:color w:val="333333"/>
          <w:sz w:val="20"/>
        </w:rPr>
        <w:t>Diễn tập PCCC &amp; Cứu hộ cứu nạn định kỳ trên công trường.</w:t>
      </w:r>
    </w:p>
    <w:p>
      <w:pPr>
        <w:spacing w:before="80" w:after="30"/>
      </w:pPr>
      <w:r>
        <w:rPr>
          <w:b/>
          <w:color w:val="1B365D"/>
          <w:sz w:val="21"/>
        </w:rPr>
        <w:t>2. QUY TRÌNH KIỂM SOÁT CHẤT LƯỢNG QA/QC</w:t>
      </w:r>
    </w:p>
    <w:p>
      <w:pPr>
        <w:pStyle w:val="ListBullet"/>
        <w:spacing w:after="30" w:line="259" w:lineRule="auto"/>
      </w:pPr>
      <w:r>
        <w:rPr>
          <w:b/>
          <w:color w:val="333333"/>
          <w:sz w:val="20"/>
        </w:rPr>
        <w:t>Kiểm soát Vật liệu Đầu vào:</w:t>
      </w:r>
      <w:r>
        <w:rPr>
          <w:color w:val="333333"/>
          <w:sz w:val="20"/>
        </w:rPr>
        <w:t xml:space="preserve"> 100% Thép Q345B, Bê tông, Tôn mái, Bulong phải có chứng chỉ CO/CQ và kết quả thí nghiệm nén/kéo từ phòng Lab hợp chuẩn.</w:t>
      </w:r>
    </w:p>
    <w:p>
      <w:pPr>
        <w:pStyle w:val="ListBullet"/>
        <w:spacing w:after="30" w:line="259" w:lineRule="auto"/>
      </w:pPr>
      <w:r>
        <w:rPr>
          <w:b/>
          <w:color w:val="333333"/>
          <w:sz w:val="20"/>
        </w:rPr>
        <w:t>Nghiệm thu Chuyển bước:</w:t>
      </w:r>
      <w:r>
        <w:rPr>
          <w:color w:val="333333"/>
          <w:sz w:val="20"/>
        </w:rPr>
        <w:t xml:space="preserve"> Kiểm tra kích thước hình học, độ phẳng móng, độ xiết bulong lực và đường hàn siêu âm/chiếu xạ.</w:t>
      </w:r>
    </w:p>
    <w:p>
      <w:pPr>
        <w:spacing w:before="80" w:after="30"/>
      </w:pPr>
      <w:r>
        <w:rPr>
          <w:b/>
          <w:color w:val="1B365D"/>
          <w:sz w:val="21"/>
        </w:rPr>
        <w:t>3. HỆ SINH THÁI ĐỐI TÁC &amp; KHÁCH HÀNG FDI</w:t>
      </w:r>
    </w:p>
    <w:p>
      <w:pPr>
        <w:pStyle w:val="ListBullet"/>
        <w:spacing w:after="30" w:line="259" w:lineRule="auto"/>
      </w:pPr>
      <w:r>
        <w:rPr>
          <w:b/>
          <w:color w:val="333333"/>
          <w:sz w:val="20"/>
        </w:rPr>
        <w:t>Chủ đầu tư FDI:</w:t>
      </w:r>
      <w:r>
        <w:rPr>
          <w:color w:val="333333"/>
          <w:sz w:val="20"/>
        </w:rPr>
        <w:t xml:space="preserve"> Các Tập đoàn Hàn Quốc, Nhật Bản, Trung Quốc, Đài Loan, Mỹ...</w:t>
      </w:r>
    </w:p>
    <w:p>
      <w:pPr>
        <w:pStyle w:val="ListBullet"/>
        <w:spacing w:after="30" w:line="259" w:lineRule="auto"/>
      </w:pPr>
      <w:r>
        <w:rPr>
          <w:b/>
          <w:color w:val="333333"/>
          <w:sz w:val="20"/>
        </w:rPr>
        <w:t>Đối tác Cung ứng:</w:t>
      </w:r>
      <w:r>
        <w:rPr>
          <w:color w:val="333333"/>
          <w:sz w:val="20"/>
        </w:rPr>
        <w:t xml:space="preserve"> Hoa Sen Steel, Hòa Phát Steel, Schneider, Dulux, Mitsubishi, Grundfos...</w:t>
      </w:r>
    </w:p>
    <w:p>
      <w:pPr>
        <w:spacing w:before="40" w:after="40"/>
      </w:pPr>
    </w:p>
    <w:p>
      <w:pPr>
        <w:spacing w:before="80" w:after="30"/>
      </w:pPr>
      <w:r>
        <w:rPr>
          <w:b/>
          <w:color w:val="1B365D"/>
          <w:sz w:val="21"/>
        </w:rPr>
        <w:t>THÔNG TIN LIÊN HỆ BAN GIÁM ĐỐC TRỰC TIẾP</w:t>
      </w:r>
    </w:p>
    <w:p>
      <w:pPr>
        <w:spacing w:after="30" w:line="259" w:lineRule="auto"/>
      </w:pPr>
      <w:r>
        <w:rPr>
          <w:b/>
          <w:color w:val="333333"/>
          <w:sz w:val="20"/>
        </w:rPr>
        <w:t>CÔNG TY CỔ PHẦN CÔNG NGHỆ XÂY DỰNG TÂN THÀNH CÔNG (AIDC CORP)</w:t>
      </w:r>
    </w:p>
    <w:p>
      <w:pPr>
        <w:pStyle w:val="ListBullet"/>
        <w:spacing w:after="30" w:line="259" w:lineRule="auto"/>
      </w:pPr>
      <w:r>
        <w:rPr>
          <w:b/>
          <w:color w:val="333333"/>
          <w:sz w:val="20"/>
        </w:rPr>
        <w:t>Trụ sở chính:</w:t>
      </w:r>
      <w:r>
        <w:rPr>
          <w:color w:val="333333"/>
          <w:sz w:val="20"/>
        </w:rPr>
        <w:t xml:space="preserve"> Số 19N7B, KĐT Trung Hòa Nhân Chính, Quận Thanh Xuân, TP. Hà Nội, Việt Nam.</w:t>
      </w:r>
    </w:p>
    <w:p>
      <w:pPr>
        <w:pStyle w:val="ListBullet"/>
        <w:spacing w:after="30" w:line="259" w:lineRule="auto"/>
      </w:pPr>
      <w:r>
        <w:rPr>
          <w:b/>
          <w:color w:val="333333"/>
          <w:sz w:val="20"/>
        </w:rPr>
        <w:t>Hotline Trực tiếp Ban Giám Đốc (24/7):</w:t>
      </w:r>
      <w:r>
        <w:rPr>
          <w:color w:val="333333"/>
          <w:sz w:val="20"/>
        </w:rPr>
        <w:t xml:space="preserve"> 0976 447 766</w:t>
      </w:r>
    </w:p>
    <w:p>
      <w:pPr>
        <w:pStyle w:val="ListBullet"/>
        <w:spacing w:after="30" w:line="259" w:lineRule="auto"/>
      </w:pPr>
      <w:r>
        <w:rPr>
          <w:b/>
          <w:color w:val="333333"/>
          <w:sz w:val="20"/>
        </w:rPr>
        <w:t>Email Tiếp nhận Hồ sơ Thầu:</w:t>
      </w:r>
      <w:hyperlink r:id="rId9">
        <w:r>
          <w:rPr>
            <w:color w:val="0056B3"/>
            <w:u w:val="single"/>
            <w:sz w:val="21"/>
          </w:rPr>
          <w:t xml:space="preserve">contact@tanthanhcong.com.vn</w:t>
        </w:r>
      </w:hyperlink>
      <w:r>
        <w:rPr>
          <w:color w:val="333333"/>
          <w:sz w:val="20"/>
        </w:rPr>
        <w:t xml:space="preserve">| </w:t>
      </w:r>
      <w:r>
        <w:rPr>
          <w:b/>
          <w:color w:val="333333"/>
          <w:sz w:val="20"/>
        </w:rPr>
        <w:t>Website:</w:t>
      </w:r>
      <w:r>
        <w:rPr>
          <w:color w:val="333333"/>
          <w:sz w:val="20"/>
        </w:rPr>
        <w:t xml:space="preserve"> www.tanthanhcong.com.vn</w:t>
      </w:r>
    </w:p>
    <w:p>
      <w:pPr>
        <w:pStyle w:val="ListBullet"/>
        <w:spacing w:after="30" w:line="259" w:lineRule="auto"/>
      </w:pPr>
      <w:r>
        <w:rPr>
          <w:color w:val="333333"/>
          <w:sz w:val="20"/>
        </w:rPr>
        <w:t>(Quét mã QR Code đính kèm để xem Video Flycam 4K &amp; Mô hình 3D BIM các Dự án đã Hoàn thành)</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64"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contact@tanthanhcong.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