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b/>
          <w:color w:val="1B365D"/>
          <w:sz w:val="30"/>
        </w:rPr>
        <w:t>CÔNG TY CỔ PHẦN CÔNG NGHỆ XÂY DỰNG TÂN THÀNH CÔNG</w:t>
      </w:r>
    </w:p>
    <w:p>
      <w:pPr>
        <w:spacing w:after="30" w:line="259" w:lineRule="auto"/>
      </w:pPr>
      <w:r>
        <w:rPr>
          <w:b/>
          <w:color w:val="333333"/>
          <w:sz w:val="20"/>
        </w:rPr>
        <w:t>TAN THANH CONG CONSTRUCTION TECHNOLOGY JSC (AIDC CORP)</w:t>
      </w:r>
    </w:p>
    <w:p>
      <w:pPr>
        <w:spacing w:before="40" w:after="40"/>
      </w:pPr>
    </w:p>
    <w:p>
      <w:pPr>
        <w:spacing w:before="100" w:after="40"/>
      </w:pPr>
      <w:r>
        <w:rPr>
          <w:b/>
          <w:color w:val="0056B3"/>
          <w:sz w:val="24"/>
        </w:rPr>
        <w:t>PRESENTATION PITCH DECK 2026</w:t>
      </w:r>
    </w:p>
    <w:p>
      <w:pPr>
        <w:spacing w:after="30" w:line="259" w:lineRule="auto"/>
      </w:pPr>
      <w:r>
        <w:rPr>
          <w:b/>
          <w:color w:val="333333"/>
          <w:sz w:val="20"/>
        </w:rPr>
        <w:t>DỰ THẢO PHƯƠNG ÁN TỔNG THẦU EPC &amp; NĂNG LỰC THI CÔNG NHÀ MÁY CÔNG NGHIỆP XANH</w:t>
      </w:r>
    </w:p>
    <w:p>
      <w:pPr>
        <w:spacing w:before="40" w:after="40"/>
      </w:pPr>
    </w:p>
    <w:p>
      <w:pPr>
        <w:spacing w:before="80" w:after="30"/>
      </w:pPr>
      <w:r>
        <w:rPr>
          <w:b/>
          <w:color w:val="1B365D"/>
          <w:sz w:val="21"/>
        </w:rPr>
        <w:t>SLIDE 01: PHƯƠNG ÁN TỔNG THẦU EPC &amp; NHÀ MÁY CÔNG NGHIỆP XANH</w:t>
      </w:r>
    </w:p>
    <w:p>
      <w:pPr>
        <w:pStyle w:val="ListBullet"/>
        <w:spacing w:after="30" w:line="259" w:lineRule="auto"/>
      </w:pPr>
      <w:r>
        <w:rPr>
          <w:b/>
          <w:color w:val="333333"/>
          <w:sz w:val="20"/>
        </w:rPr>
        <w:t>Tiêu đề:</w:t>
      </w:r>
      <w:r>
        <w:rPr>
          <w:color w:val="333333"/>
          <w:sz w:val="20"/>
        </w:rPr>
        <w:t xml:space="preserve"> DỰ THẢO PHƯƠNG ÁN TỔNG THẦU EPC &amp; NĂNG LỰC THI CÔNG NHÀ MÁY CÔNG NGHIỆP XANH</w:t>
      </w:r>
    </w:p>
    <w:p>
      <w:pPr>
        <w:pStyle w:val="ListBullet"/>
        <w:spacing w:after="30" w:line="259" w:lineRule="auto"/>
      </w:pPr>
      <w:r>
        <w:rPr>
          <w:b/>
          <w:color w:val="333333"/>
          <w:sz w:val="20"/>
        </w:rPr>
        <w:t>Subtitle:</w:t>
      </w:r>
      <w:r>
        <w:rPr>
          <w:color w:val="333333"/>
          <w:sz w:val="20"/>
        </w:rPr>
        <w:t xml:space="preserve"> Năng lực Kỹ thuật – Số hóa BIM – Cam kết Chuẩn mực ESG</w:t>
      </w:r>
    </w:p>
    <w:p>
      <w:pPr>
        <w:pStyle w:val="ListBullet"/>
        <w:spacing w:after="30" w:line="259" w:lineRule="auto"/>
      </w:pPr>
      <w:r>
        <w:rPr>
          <w:b/>
          <w:color w:val="333333"/>
          <w:sz w:val="20"/>
        </w:rPr>
        <w:t>Trình bày bởi:</w:t>
      </w:r>
      <w:r>
        <w:rPr>
          <w:color w:val="333333"/>
          <w:sz w:val="20"/>
        </w:rPr>
        <w:t xml:space="preserve"> Ban Dự án &amp; Ban Giám đốc Tân Thành Công JSC</w:t>
      </w:r>
    </w:p>
    <w:p>
      <w:pPr>
        <w:pStyle w:val="ListBullet"/>
        <w:spacing w:after="30" w:line="259" w:lineRule="auto"/>
      </w:pPr>
      <w:r>
        <w:rPr>
          <w:b/>
          <w:color w:val="333333"/>
          <w:sz w:val="20"/>
        </w:rPr>
        <w:t>Kính gửi:</w:t>
      </w:r>
      <w:r>
        <w:rPr>
          <w:color w:val="333333"/>
          <w:sz w:val="20"/>
        </w:rPr>
        <w:t xml:space="preserve"> Hội đồng Chấm thầu &amp; Ban Quản lý Dự án [Tên Chủ đầu tư FDI]</w:t>
      </w:r>
    </w:p>
    <w:p>
      <w:pPr>
        <w:spacing w:before="40" w:after="40"/>
      </w:pPr>
    </w:p>
    <w:p>
      <w:pPr>
        <w:spacing w:before="80" w:after="30"/>
      </w:pPr>
      <w:r>
        <w:rPr>
          <w:b/>
          <w:color w:val="1B365D"/>
          <w:sz w:val="21"/>
        </w:rPr>
        <w:t>SLIDE 02: THÁCH THỨC CỦA CHỦ ĐẦU TƯ FDI KHI ĐẦU TƯ TẠI VIỆT NAM</w:t>
      </w:r>
    </w:p>
    <w:p>
      <w:pPr>
        <w:pStyle w:val="ListNumber"/>
        <w:spacing w:after="30" w:line="259" w:lineRule="auto"/>
      </w:pPr>
      <w:r>
        <w:rPr>
          <w:b/>
          <w:color w:val="333333"/>
          <w:sz w:val="20"/>
        </w:rPr>
        <w:t>Rủi ro Trễ Tiến độ (Delay Risk):</w:t>
      </w:r>
      <w:r>
        <w:rPr>
          <w:color w:val="333333"/>
          <w:sz w:val="20"/>
        </w:rPr>
        <w:t xml:space="preserve"> Thi công kéo dài gây tổn thất chi phí cơ hội &amp; dòng tiền.</w:t>
      </w:r>
    </w:p>
    <w:p>
      <w:pPr>
        <w:pStyle w:val="ListNumber"/>
        <w:spacing w:after="30" w:line="259" w:lineRule="auto"/>
      </w:pPr>
      <w:r>
        <w:rPr>
          <w:b/>
          <w:color w:val="333333"/>
          <w:sz w:val="20"/>
        </w:rPr>
        <w:t>Xung đột Thiết kế &amp; Chi phí phát sinh (Cost Overrun):</w:t>
      </w:r>
      <w:r>
        <w:rPr>
          <w:color w:val="333333"/>
          <w:sz w:val="20"/>
        </w:rPr>
        <w:t xml:space="preserve"> Bản vẽ vẽ một đằng, thi công một nẻo do thiếu số hóa.</w:t>
      </w:r>
    </w:p>
    <w:p>
      <w:pPr>
        <w:pStyle w:val="ListNumber"/>
        <w:spacing w:after="30" w:line="259" w:lineRule="auto"/>
      </w:pPr>
      <w:r>
        <w:rPr>
          <w:b/>
          <w:color w:val="333333"/>
          <w:sz w:val="20"/>
        </w:rPr>
        <w:t>Tiêu chuẩn An toàn &amp; Môi trường khắt khe (ESG Compliance):</w:t>
      </w:r>
      <w:r>
        <w:rPr>
          <w:color w:val="333333"/>
          <w:sz w:val="20"/>
        </w:rPr>
        <w:t xml:space="preserve"> Các tập đoàn đa quốc gia đòi hỏi nhà xưởng đạt chuẩn xanh, giảm phát thải carbon.</w:t>
      </w:r>
    </w:p>
    <w:p>
      <w:pPr>
        <w:spacing w:before="40" w:after="40"/>
      </w:pPr>
    </w:p>
    <w:p>
      <w:pPr>
        <w:spacing w:before="80" w:after="30"/>
      </w:pPr>
      <w:r>
        <w:rPr>
          <w:b/>
          <w:color w:val="1B365D"/>
          <w:sz w:val="21"/>
        </w:rPr>
        <w:t>SLIDE 03: GIẢI PHÁP TỪ TÂN THÀNH CÔNG JSC</w:t>
      </w:r>
    </w:p>
    <w:p>
      <w:pPr>
        <w:pStyle w:val="ListBullet"/>
        <w:spacing w:after="30" w:line="259" w:lineRule="auto"/>
      </w:pPr>
      <w:r>
        <w:rPr>
          <w:b/>
          <w:color w:val="333333"/>
          <w:sz w:val="20"/>
        </w:rPr>
        <w:t>Tổng thầu EPC Trọn gói:</w:t>
      </w:r>
      <w:r>
        <w:rPr>
          <w:color w:val="333333"/>
          <w:sz w:val="20"/>
        </w:rPr>
        <w:t xml:space="preserve"> Từ Xúc tiến đầu tư $\rightarrow$ Thiết kế BIM $\rightarrow$ Thi công Kết cấu thép tiền chế $\rightarrow$ Bảo trì 24/7.</w:t>
      </w:r>
    </w:p>
    <w:p>
      <w:pPr>
        <w:pStyle w:val="ListBullet"/>
        <w:spacing w:after="30" w:line="259" w:lineRule="auto"/>
      </w:pPr>
      <w:r>
        <w:rPr>
          <w:b/>
          <w:color w:val="333333"/>
          <w:sz w:val="20"/>
        </w:rPr>
        <w:t>Bộ 3 Cam kết Vàng:</w:t>
      </w:r>
      <w:r>
        <w:rPr>
          <w:color w:val="333333"/>
          <w:sz w:val="20"/>
        </w:rPr>
        <w:t xml:space="preserve"> </w:t>
      </w:r>
      <w:r>
        <w:rPr>
          <w:b/>
          <w:color w:val="333333"/>
          <w:sz w:val="20"/>
        </w:rPr>
        <w:t>100% On-Time Delivery – 0% Accident Safety – ESG Green Compliance</w:t>
      </w:r>
      <w:r>
        <w:rPr>
          <w:color w:val="333333"/>
          <w:sz w:val="20"/>
        </w:rPr>
        <w:t>.</w:t>
      </w:r>
    </w:p>
    <w:p>
      <w:pPr>
        <w:spacing w:before="40" w:after="40"/>
      </w:pPr>
    </w:p>
    <w:p>
      <w:pPr>
        <w:spacing w:before="80" w:after="30"/>
      </w:pPr>
      <w:r>
        <w:rPr>
          <w:b/>
          <w:color w:val="1B365D"/>
          <w:sz w:val="21"/>
        </w:rPr>
        <w:t>SLIDE 04: TỔNG QUAN TÂN THÀNH CÔNG JSC AT A GLANCE</w:t>
      </w:r>
    </w:p>
    <w:p>
      <w:pPr>
        <w:pStyle w:val="ListBullet"/>
        <w:spacing w:after="30" w:line="259" w:lineRule="auto"/>
      </w:pPr>
      <w:r>
        <w:rPr>
          <w:b/>
          <w:color w:val="333333"/>
          <w:sz w:val="20"/>
        </w:rPr>
        <w:t>Thành lập:</w:t>
      </w:r>
      <w:r>
        <w:rPr>
          <w:color w:val="333333"/>
          <w:sz w:val="20"/>
        </w:rPr>
        <w:t xml:space="preserve"> 2015 (Hơn 10 năm kinh nghiệm).</w:t>
      </w:r>
    </w:p>
    <w:p>
      <w:pPr>
        <w:pStyle w:val="ListBullet"/>
        <w:spacing w:after="30" w:line="259" w:lineRule="auto"/>
      </w:pPr>
      <w:r>
        <w:rPr>
          <w:b/>
          <w:color w:val="333333"/>
          <w:sz w:val="20"/>
        </w:rPr>
        <w:t>Trụ sở:</w:t>
      </w:r>
      <w:r>
        <w:rPr>
          <w:color w:val="333333"/>
          <w:sz w:val="20"/>
        </w:rPr>
        <w:t xml:space="preserve"> Số 19N7B, KĐT Trung Hòa Nhân Chính, Thanh Xuân, Hà Nội.</w:t>
      </w:r>
    </w:p>
    <w:p>
      <w:pPr>
        <w:pStyle w:val="ListBullet"/>
        <w:spacing w:after="30" w:line="259" w:lineRule="auto"/>
      </w:pPr>
      <w:r>
        <w:rPr>
          <w:b/>
          <w:color w:val="333333"/>
          <w:sz w:val="20"/>
        </w:rPr>
        <w:t>Quy mô Năng lực:</w:t>
      </w:r>
      <w:r>
        <w:rPr>
          <w:color w:val="333333"/>
          <w:sz w:val="20"/>
        </w:rPr>
        <w:t xml:space="preserve"> 100+ Nhân sự | 20 Kiến trúc sư | 40 Kỹ sư | 150+ Dự án thành công | Đội thợ 7/7.</w:t>
      </w:r>
    </w:p>
    <w:p>
      <w:pPr>
        <w:spacing w:before="40" w:after="40"/>
      </w:pPr>
    </w:p>
    <w:p>
      <w:pPr>
        <w:spacing w:before="80" w:after="30"/>
      </w:pPr>
      <w:r>
        <w:rPr>
          <w:b/>
          <w:color w:val="1B365D"/>
          <w:sz w:val="21"/>
        </w:rPr>
        <w:t>SLIDE 05: 4 TRỤ CỘT DỊCH VỤ CỐT LÕI</w:t>
      </w:r>
    </w:p>
    <w:p>
      <w:pPr>
        <w:pStyle w:val="ListNumber"/>
        <w:spacing w:after="30" w:line="259" w:lineRule="auto"/>
      </w:pPr>
      <w:r>
        <w:rPr>
          <w:b/>
          <w:color w:val="333333"/>
          <w:sz w:val="20"/>
        </w:rPr>
        <w:t>Tư vấn Xúc tiến Đầu tư FDI &amp; Pháp lý Xây dựng</w:t>
      </w:r>
    </w:p>
    <w:p>
      <w:pPr>
        <w:pStyle w:val="ListNumber"/>
        <w:spacing w:after="30" w:line="259" w:lineRule="auto"/>
      </w:pPr>
      <w:r>
        <w:rPr>
          <w:b/>
          <w:color w:val="333333"/>
          <w:sz w:val="20"/>
        </w:rPr>
        <w:t>Tư vấn Thiết kế &amp; Quản lý Số hóa BIM</w:t>
      </w:r>
    </w:p>
    <w:p>
      <w:pPr>
        <w:pStyle w:val="ListNumber"/>
        <w:spacing w:after="30" w:line="259" w:lineRule="auto"/>
      </w:pPr>
      <w:r>
        <w:rPr>
          <w:b/>
          <w:color w:val="333333"/>
          <w:sz w:val="20"/>
        </w:rPr>
        <w:t>Tổng thầu EPC Thi công Công nghiệp &amp; Kết cấu thép tiền chế</w:t>
      </w:r>
    </w:p>
    <w:p>
      <w:pPr>
        <w:pStyle w:val="ListNumber"/>
        <w:spacing w:after="30" w:line="259" w:lineRule="auto"/>
      </w:pPr>
      <w:r>
        <w:rPr>
          <w:b/>
          <w:color w:val="333333"/>
          <w:sz w:val="20"/>
        </w:rPr>
        <w:t>Bảo trì Kỹ thuật &amp; Vận hành Hậu mãi 24/7</w:t>
      </w:r>
    </w:p>
    <w:p>
      <w:pPr>
        <w:spacing w:before="40" w:after="40"/>
      </w:pPr>
    </w:p>
    <w:p>
      <w:pPr>
        <w:spacing w:before="80" w:after="30"/>
      </w:pPr>
      <w:r>
        <w:rPr>
          <w:b/>
          <w:color w:val="1B365D"/>
          <w:sz w:val="21"/>
        </w:rPr>
        <w:t>SLIDE 06 - 08: NĂNG LỰC TÀI CHÍNH &amp; HẠN MỨC TÍN DỤNG</w:t>
      </w:r>
    </w:p>
    <w:p>
      <w:pPr>
        <w:pStyle w:val="ListBullet"/>
        <w:spacing w:after="30" w:line="259" w:lineRule="auto"/>
      </w:pPr>
      <w:r>
        <w:rPr>
          <w:color w:val="333333"/>
          <w:sz w:val="20"/>
        </w:rPr>
        <w:t>Báo cáo Tài chính kiểm toán 3 năm gần nhất.</w:t>
      </w:r>
    </w:p>
    <w:p>
      <w:pPr>
        <w:pStyle w:val="ListBullet"/>
        <w:spacing w:after="30" w:line="259" w:lineRule="auto"/>
      </w:pPr>
      <w:r>
        <w:rPr>
          <w:color w:val="333333"/>
          <w:sz w:val="20"/>
        </w:rPr>
        <w:t>Hạn mức tín dụng &amp; Cam kết phát hành Bảo lãnh dự thầu từ Vietcombank, BIDV, VietinBank.</w:t>
      </w:r>
    </w:p>
    <w:p>
      <w:pPr>
        <w:spacing w:before="40" w:after="40"/>
      </w:pPr>
    </w:p>
    <w:p>
      <w:pPr>
        <w:spacing w:before="80" w:after="30"/>
      </w:pPr>
      <w:r>
        <w:rPr>
          <w:b/>
          <w:color w:val="1B365D"/>
          <w:sz w:val="21"/>
        </w:rPr>
        <w:t>SLIDE 09 - 12: CÔNG NGHỆ MŨI NHỌN &amp; GIẢI PHẪU KỸ THUẬT NHÀ XƯỞNG</w:t>
      </w:r>
    </w:p>
    <w:p>
      <w:pPr>
        <w:pStyle w:val="ListBullet"/>
        <w:spacing w:after="30" w:line="259" w:lineRule="auto"/>
      </w:pPr>
      <w:r>
        <w:rPr>
          <w:b/>
          <w:color w:val="333333"/>
          <w:sz w:val="20"/>
        </w:rPr>
        <w:t>Mô hình hóa số BIM Level 2/3:</w:t>
      </w:r>
      <w:r>
        <w:rPr>
          <w:color w:val="333333"/>
          <w:sz w:val="20"/>
        </w:rPr>
        <w:t xml:space="preserve"> Phát hiện 100% xung đột thiết kế trước khi thi công.</w:t>
      </w:r>
    </w:p>
    <w:p>
      <w:pPr>
        <w:pStyle w:val="ListBullet"/>
        <w:spacing w:after="30" w:line="259" w:lineRule="auto"/>
      </w:pPr>
      <w:r>
        <w:rPr>
          <w:b/>
          <w:color w:val="333333"/>
          <w:sz w:val="20"/>
        </w:rPr>
        <w:t>Khung thép tiền chế Q345B:</w:t>
      </w:r>
      <w:r>
        <w:rPr>
          <w:color w:val="333333"/>
          <w:sz w:val="20"/>
        </w:rPr>
        <w:t xml:space="preserve"> Kết cấu cột &amp; kèo tổ hợp biến thiên tiết diện, sơn Alkyd/Epoxy 2 lớp.</w:t>
      </w:r>
    </w:p>
    <w:p>
      <w:pPr>
        <w:pStyle w:val="ListBullet"/>
        <w:spacing w:after="30" w:line="259" w:lineRule="auto"/>
      </w:pPr>
      <w:r>
        <w:rPr>
          <w:b/>
          <w:color w:val="333333"/>
          <w:sz w:val="20"/>
        </w:rPr>
        <w:t>Mái Seamlock/Cliplock:</w:t>
      </w:r>
      <w:r>
        <w:rPr>
          <w:color w:val="333333"/>
          <w:sz w:val="20"/>
        </w:rPr>
        <w:t xml:space="preserve"> Chống dột tuyệt đối, cách nhiệt bông thủy tinh Glasswool, hệ thông gió Monitor.</w:t>
      </w:r>
    </w:p>
    <w:p>
      <w:pPr>
        <w:spacing w:before="40" w:after="40"/>
      </w:pPr>
    </w:p>
    <w:p>
      <w:pPr>
        <w:spacing w:before="80" w:after="30"/>
      </w:pPr>
      <w:r>
        <w:rPr>
          <w:b/>
          <w:color w:val="1B365D"/>
          <w:sz w:val="21"/>
        </w:rPr>
        <w:t>SLIDE 13 - 15: AN TOÀN HSE &amp; CHUẨN MỰC CÔNG NGHIỆP XANH ESG</w:t>
      </w:r>
    </w:p>
    <w:p>
      <w:pPr>
        <w:pStyle w:val="ListBullet"/>
        <w:spacing w:after="30" w:line="259" w:lineRule="auto"/>
      </w:pPr>
      <w:r>
        <w:rPr>
          <w:color w:val="333333"/>
          <w:sz w:val="20"/>
        </w:rPr>
        <w:t xml:space="preserve">Chính sách </w:t>
      </w:r>
      <w:r>
        <w:rPr>
          <w:b/>
          <w:color w:val="333333"/>
          <w:sz w:val="20"/>
        </w:rPr>
        <w:t>Zero Accident</w:t>
      </w:r>
      <w:r>
        <w:rPr>
          <w:color w:val="333333"/>
          <w:sz w:val="20"/>
        </w:rPr>
        <w:t>, kiểm định 100% thiết bị thi công trước khi đưa vào công trường.</w:t>
      </w:r>
    </w:p>
    <w:p>
      <w:pPr>
        <w:pStyle w:val="ListBullet"/>
        <w:spacing w:after="30" w:line="259" w:lineRule="auto"/>
      </w:pPr>
      <w:r>
        <w:rPr>
          <w:color w:val="333333"/>
          <w:sz w:val="20"/>
        </w:rPr>
        <w:t xml:space="preserve">Khẳng định vị thế tại </w:t>
      </w:r>
      <w:r>
        <w:rPr>
          <w:b/>
          <w:color w:val="333333"/>
          <w:sz w:val="20"/>
        </w:rPr>
        <w:t>Diễn đàn Hợp tác Doanh nghiệp Việt Nam – Hàn Quốc</w:t>
      </w:r>
      <w:r>
        <w:rPr>
          <w:color w:val="333333"/>
          <w:sz w:val="20"/>
        </w:rPr>
        <w:t>.</w:t>
      </w:r>
    </w:p>
    <w:p>
      <w:pPr>
        <w:spacing w:before="40" w:after="40"/>
      </w:pPr>
    </w:p>
    <w:p>
      <w:pPr>
        <w:spacing w:before="80" w:after="30"/>
      </w:pPr>
      <w:r>
        <w:rPr>
          <w:b/>
          <w:color w:val="1B365D"/>
          <w:sz w:val="21"/>
        </w:rPr>
        <w:t>SLIDE 16 - 20: CASE STUDIES DỰ ÁN TIÊU BIỂU</w:t>
      </w:r>
    </w:p>
    <w:p>
      <w:pPr>
        <w:pStyle w:val="ListBullet"/>
        <w:spacing w:after="30" w:line="259" w:lineRule="auto"/>
      </w:pPr>
      <w:r>
        <w:rPr>
          <w:color w:val="333333"/>
          <w:sz w:val="20"/>
        </w:rPr>
        <w:t>Slide 16: Case Study Dự án Nhà máy E-Factory Tân Thuận (35,000 m²).</w:t>
      </w:r>
    </w:p>
    <w:p>
      <w:pPr>
        <w:pStyle w:val="ListBullet"/>
        <w:spacing w:after="30" w:line="259" w:lineRule="auto"/>
      </w:pPr>
      <w:r>
        <w:rPr>
          <w:color w:val="333333"/>
          <w:sz w:val="20"/>
        </w:rPr>
        <w:t>Slide 17: Case Study Cụm Nhà xưởng Xanh ESG Green Park (50,000 m²).</w:t>
      </w:r>
    </w:p>
    <w:p>
      <w:pPr>
        <w:pStyle w:val="ListBullet"/>
        <w:spacing w:after="30" w:line="259" w:lineRule="auto"/>
      </w:pPr>
      <w:r>
        <w:rPr>
          <w:color w:val="333333"/>
          <w:sz w:val="20"/>
        </w:rPr>
        <w:t>Slide 18: Case Study Trung tâm Logistics &amp; Kho lạnh Chuyên dụng.</w:t>
      </w:r>
    </w:p>
    <w:p>
      <w:pPr>
        <w:pStyle w:val="ListBullet"/>
        <w:spacing w:after="30" w:line="259" w:lineRule="auto"/>
      </w:pPr>
      <w:r>
        <w:rPr>
          <w:color w:val="333333"/>
          <w:sz w:val="20"/>
        </w:rPr>
        <w:t>Slide 19: Danh mục các Chủ đầu tư &amp; Đối tác FDI chiến lược.</w:t>
      </w:r>
    </w:p>
    <w:p>
      <w:pPr>
        <w:pStyle w:val="ListBullet"/>
        <w:spacing w:after="30" w:line="259" w:lineRule="auto"/>
      </w:pPr>
      <w:r>
        <w:rPr>
          <w:color w:val="333333"/>
          <w:sz w:val="20"/>
        </w:rPr>
        <w:t>Slide 20: Thư khen &amp; Đánh giá chất lượng từ các Chủ đầu tư cũ.</w:t>
      </w:r>
    </w:p>
    <w:p>
      <w:pPr>
        <w:spacing w:before="40" w:after="40"/>
      </w:pPr>
    </w:p>
    <w:p>
      <w:pPr>
        <w:spacing w:before="80" w:after="30"/>
      </w:pPr>
      <w:r>
        <w:rPr>
          <w:b/>
          <w:color w:val="1B365D"/>
          <w:sz w:val="21"/>
        </w:rPr>
        <w:t>SLIDE 21 - 23: KẾ HOẠCH TRIỂN KHAI PHƯƠNG ÁN THI CÔNG ĐỀ XUẤT</w:t>
      </w:r>
    </w:p>
    <w:p>
      <w:pPr>
        <w:pStyle w:val="ListBullet"/>
        <w:spacing w:after="30" w:line="259" w:lineRule="auto"/>
      </w:pPr>
      <w:r>
        <w:rPr>
          <w:color w:val="333333"/>
          <w:sz w:val="20"/>
        </w:rPr>
        <w:t>Sơ đồ tổ chức Ban Quản lý Dự án riêng cho gói thầu của Chủ đầu tư.</w:t>
      </w:r>
    </w:p>
    <w:p>
      <w:pPr>
        <w:pStyle w:val="ListBullet"/>
        <w:spacing w:after="30" w:line="259" w:lineRule="auto"/>
      </w:pPr>
      <w:r>
        <w:rPr>
          <w:color w:val="333333"/>
          <w:sz w:val="20"/>
        </w:rPr>
        <w:t>Tiến độ thi công tổng thể (Master Schedule) từng tuần/tháng.</w:t>
      </w:r>
    </w:p>
    <w:p>
      <w:pPr>
        <w:pStyle w:val="ListBullet"/>
        <w:spacing w:after="30" w:line="259" w:lineRule="auto"/>
      </w:pPr>
      <w:r>
        <w:rPr>
          <w:color w:val="333333"/>
          <w:sz w:val="20"/>
        </w:rPr>
        <w:t>Quy trình kiểm soát chất lượng vật liệu đầu vào (CO/CQ, Thí nghiệm Lab).</w:t>
      </w:r>
    </w:p>
    <w:p>
      <w:pPr>
        <w:spacing w:before="40" w:after="40"/>
      </w:pPr>
    </w:p>
    <w:p>
      <w:pPr>
        <w:spacing w:before="80" w:after="30"/>
      </w:pPr>
      <w:r>
        <w:rPr>
          <w:b/>
          <w:color w:val="1B365D"/>
          <w:sz w:val="21"/>
        </w:rPr>
        <w:t>SLIDE 24: BẢO HÀNH &amp; CAM KẾT HẬU MÃI 24/7</w:t>
      </w:r>
    </w:p>
    <w:p>
      <w:pPr>
        <w:pStyle w:val="ListBullet"/>
        <w:spacing w:after="30" w:line="259" w:lineRule="auto"/>
      </w:pPr>
      <w:r>
        <w:rPr>
          <w:color w:val="333333"/>
          <w:sz w:val="20"/>
        </w:rPr>
        <w:t>Cam kết bảo hành kết cấu lên đến 10 năm.</w:t>
      </w:r>
    </w:p>
    <w:p>
      <w:pPr>
        <w:pStyle w:val="ListBullet"/>
        <w:spacing w:after="30" w:line="259" w:lineRule="auto"/>
      </w:pPr>
      <w:r>
        <w:rPr>
          <w:color w:val="333333"/>
          <w:sz w:val="20"/>
        </w:rPr>
        <w:t>Đội phản ứng nhanh kỹ thuật hỗ trợ khắc phục sự cố trong vòng 2 giờ (24/7 Hotline).</w:t>
      </w:r>
    </w:p>
    <w:p>
      <w:pPr>
        <w:spacing w:before="40" w:after="40"/>
      </w:pPr>
    </w:p>
    <w:p>
      <w:pPr>
        <w:spacing w:before="80" w:after="30"/>
      </w:pPr>
      <w:r>
        <w:rPr>
          <w:b/>
          <w:color w:val="1B365D"/>
          <w:sz w:val="21"/>
        </w:rPr>
        <w:t>SLIDE 25: SLIDE KẾT THÚC &amp; Q&amp;A</w:t>
      </w:r>
    </w:p>
    <w:p>
      <w:pPr>
        <w:pStyle w:val="ListBullet"/>
        <w:spacing w:after="30" w:line="259" w:lineRule="auto"/>
      </w:pPr>
      <w:r>
        <w:rPr>
          <w:b/>
          <w:color w:val="333333"/>
          <w:sz w:val="20"/>
        </w:rPr>
        <w:t>CẢM ƠN QUÝ CHỦ ĐẦU TƯ VÀ HỘI ĐỒNG CHẤM THẦU!</w:t>
      </w:r>
    </w:p>
    <w:p>
      <w:pPr>
        <w:pStyle w:val="ListBullet"/>
        <w:spacing w:after="30" w:line="259" w:lineRule="auto"/>
      </w:pPr>
      <w:r>
        <w:rPr>
          <w:b/>
          <w:color w:val="333333"/>
          <w:sz w:val="20"/>
        </w:rPr>
        <w:t>TÂN THÀNH CÔNG JSC – ĐỐI TÁC TIN CẬY CHO MỌI SIÊU DỰ ÁN CÔNG NGHIỆP XANH</w:t>
      </w:r>
    </w:p>
    <w:p>
      <w:pPr>
        <w:pStyle w:val="ListBullet"/>
        <w:spacing w:after="30" w:line="259" w:lineRule="auto"/>
      </w:pPr>
      <w:r>
        <w:rPr>
          <w:color w:val="333333"/>
          <w:sz w:val="20"/>
        </w:rPr>
        <w:t>Hotline Trực tiếp Ban Giám đốc: 0976 447 766</w:t>
      </w:r>
    </w:p>
    <w:p>
      <w:pPr>
        <w:pStyle w:val="ListBullet"/>
        <w:spacing w:after="30" w:line="259" w:lineRule="auto"/>
      </w:pPr>
      <w:r>
        <w:rPr>
          <w:color w:val="333333"/>
          <w:sz w:val="20"/>
        </w:rPr>
        <w:t>Email:</w:t>
      </w:r>
      <w:hyperlink r:id="rId9">
        <w:r>
          <w:rPr>
            <w:color w:val="0056B3"/>
            <w:u w:val="single"/>
            <w:sz w:val="21"/>
          </w:rPr>
          <w:t xml:space="preserve">contact@tanthanhcong.com.vn</w:t>
        </w:r>
      </w:hyperlink>
      <w:r>
        <w:rPr>
          <w:color w:val="333333"/>
          <w:sz w:val="20"/>
        </w:rPr>
        <w:t>| Website: www.tanthanhcong.com.vn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64" w:lineRule="auto"/>
    </w:pPr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contact@tanthanhcong.com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